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08"/>
        <w:gridCol w:w="3261"/>
        <w:gridCol w:w="283"/>
        <w:gridCol w:w="142"/>
        <w:gridCol w:w="5352"/>
        <w:gridCol w:w="176"/>
        <w:gridCol w:w="142"/>
      </w:tblGrid>
      <w:tr w:rsidR="008868C5" w14:paraId="32C71033" w14:textId="77777777" w:rsidTr="004946A8">
        <w:trPr>
          <w:trHeight w:val="1414"/>
        </w:trPr>
        <w:tc>
          <w:tcPr>
            <w:tcW w:w="4253" w:type="dxa"/>
            <w:gridSpan w:val="5"/>
          </w:tcPr>
          <w:p w14:paraId="61865A61" w14:textId="008329D7" w:rsidR="007B7655" w:rsidRPr="00022650" w:rsidRDefault="007B7655" w:rsidP="00AD2E14">
            <w:pPr>
              <w:pStyle w:val="NoSpacing"/>
              <w:rPr>
                <w:caps/>
              </w:rPr>
            </w:pPr>
            <w:bookmarkStart w:id="0" w:name="_GoBack"/>
            <w:bookmarkEnd w:id="0"/>
            <w:r w:rsidRPr="00022650">
              <w:t>ỦY BAN NHÂN DÂN</w:t>
            </w:r>
          </w:p>
          <w:p w14:paraId="7A4617C6" w14:textId="2F520DDF" w:rsidR="007B7655" w:rsidRPr="00022650" w:rsidRDefault="007B7655" w:rsidP="002B6B22">
            <w:pPr>
              <w:keepNext/>
              <w:ind w:left="-108"/>
              <w:jc w:val="center"/>
              <w:outlineLvl w:val="0"/>
              <w:rPr>
                <w:rFonts w:eastAsia="Times New Roman"/>
                <w:b/>
                <w:bCs/>
                <w:caps/>
                <w:sz w:val="26"/>
                <w:szCs w:val="26"/>
              </w:rPr>
            </w:pPr>
            <w:r w:rsidRPr="00022650">
              <w:rPr>
                <w:rFonts w:eastAsia="Times New Roman"/>
                <w:sz w:val="26"/>
                <w:szCs w:val="26"/>
              </w:rPr>
              <w:t>THÀNH PHỐ HỒ CHÍ MINH</w:t>
            </w:r>
          </w:p>
          <w:p w14:paraId="6E0AED47" w14:textId="51C39B0F" w:rsidR="007B7655" w:rsidRPr="00022650" w:rsidRDefault="002B6B22" w:rsidP="002B6B22">
            <w:pPr>
              <w:tabs>
                <w:tab w:val="left" w:pos="176"/>
              </w:tabs>
              <w:ind w:left="-108" w:right="34"/>
              <w:jc w:val="center"/>
              <w:rPr>
                <w:rFonts w:eastAsia="Times New Roman"/>
                <w:b/>
                <w:bCs/>
                <w:sz w:val="26"/>
                <w:szCs w:val="26"/>
              </w:rPr>
            </w:pPr>
            <w:r>
              <w:rPr>
                <w:rFonts w:eastAsia="Times New Roman"/>
                <w:b/>
                <w:bCs/>
                <w:sz w:val="26"/>
                <w:szCs w:val="26"/>
              </w:rPr>
              <w:t xml:space="preserve">  </w:t>
            </w:r>
            <w:r w:rsidR="006F6E8A">
              <w:rPr>
                <w:rFonts w:eastAsia="Times New Roman"/>
                <w:b/>
                <w:bCs/>
                <w:sz w:val="26"/>
                <w:szCs w:val="26"/>
              </w:rPr>
              <w:t xml:space="preserve">  </w:t>
            </w:r>
            <w:r>
              <w:rPr>
                <w:rFonts w:eastAsia="Times New Roman"/>
                <w:b/>
                <w:bCs/>
                <w:sz w:val="26"/>
                <w:szCs w:val="26"/>
              </w:rPr>
              <w:t xml:space="preserve"> </w:t>
            </w:r>
            <w:r w:rsidR="007B7655" w:rsidRPr="00022650">
              <w:rPr>
                <w:rFonts w:eastAsia="Times New Roman"/>
                <w:b/>
                <w:bCs/>
                <w:sz w:val="26"/>
                <w:szCs w:val="26"/>
              </w:rPr>
              <w:t>SỞ TÀI CHÍNH</w:t>
            </w:r>
            <w:r w:rsidR="006F6E8A">
              <w:rPr>
                <w:rFonts w:eastAsia="Times New Roman"/>
                <w:b/>
                <w:bCs/>
                <w:sz w:val="26"/>
                <w:szCs w:val="26"/>
              </w:rPr>
              <w:t xml:space="preserve"> - SỞ GIÁO DỤC </w:t>
            </w:r>
            <w:r w:rsidR="007B7655">
              <w:rPr>
                <w:rFonts w:eastAsia="Times New Roman"/>
                <w:b/>
                <w:bCs/>
                <w:sz w:val="26"/>
                <w:szCs w:val="26"/>
              </w:rPr>
              <w:t>VÀ ĐÀO TẠO</w:t>
            </w:r>
          </w:p>
          <w:p w14:paraId="02E09C21" w14:textId="36F4939D" w:rsidR="0060652B" w:rsidRDefault="00AD2E14" w:rsidP="004946A8">
            <w:pPr>
              <w:ind w:left="-108"/>
              <w:jc w:val="center"/>
              <w:rPr>
                <w:sz w:val="10"/>
                <w:szCs w:val="10"/>
              </w:rPr>
            </w:pPr>
            <w:r>
              <w:rPr>
                <w:noProof/>
              </w:rPr>
              <mc:AlternateContent>
                <mc:Choice Requires="wps">
                  <w:drawing>
                    <wp:anchor distT="4294967293" distB="4294967293" distL="114300" distR="114300" simplePos="0" relativeHeight="251659264" behindDoc="0" locked="0" layoutInCell="1" allowOverlap="1" wp14:anchorId="784A9D6D" wp14:editId="3A9D1327">
                      <wp:simplePos x="0" y="0"/>
                      <wp:positionH relativeFrom="column">
                        <wp:posOffset>739140</wp:posOffset>
                      </wp:positionH>
                      <wp:positionV relativeFrom="paragraph">
                        <wp:posOffset>81915</wp:posOffset>
                      </wp:positionV>
                      <wp:extent cx="962025" cy="0"/>
                      <wp:effectExtent l="5715" t="5715" r="13335" b="1333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2pt;margin-top:6.45pt;width:75.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"/>
                  </w:pict>
                </mc:Fallback>
              </mc:AlternateContent>
            </w:r>
          </w:p>
        </w:tc>
        <w:tc>
          <w:tcPr>
            <w:tcW w:w="5670" w:type="dxa"/>
            <w:gridSpan w:val="3"/>
          </w:tcPr>
          <w:p w14:paraId="7DD2544F" w14:textId="77777777" w:rsidR="0060652B" w:rsidRDefault="00AB5DD3">
            <w:pPr>
              <w:ind w:right="0"/>
              <w:jc w:val="center"/>
              <w:rPr>
                <w:b/>
                <w:sz w:val="26"/>
                <w:szCs w:val="26"/>
              </w:rPr>
            </w:pPr>
            <w:r>
              <w:rPr>
                <w:b/>
                <w:sz w:val="26"/>
                <w:szCs w:val="26"/>
              </w:rPr>
              <w:t>CỘNG HÒA XÃ HỘI CHỦ NGHĨA VIỆT NAM</w:t>
            </w:r>
          </w:p>
          <w:p w14:paraId="08F94EFE" w14:textId="77777777" w:rsidR="0060652B" w:rsidRDefault="00AB5DD3">
            <w:pPr>
              <w:ind w:right="0"/>
              <w:jc w:val="center"/>
              <w:rPr>
                <w:b/>
                <w:szCs w:val="26"/>
              </w:rPr>
            </w:pPr>
            <w:r>
              <w:rPr>
                <w:b/>
                <w:szCs w:val="26"/>
              </w:rPr>
              <w:t>Độc lập – Tự do – Hạnh phúc</w:t>
            </w:r>
          </w:p>
          <w:p w14:paraId="54CC0ACC" w14:textId="7D31A4B4" w:rsidR="0060652B" w:rsidRPr="00741D30" w:rsidRDefault="00AB5DD3" w:rsidP="00741D30">
            <w:pPr>
              <w:ind w:right="0"/>
              <w:jc w:val="center"/>
              <w:rPr>
                <w:b/>
                <w:sz w:val="10"/>
                <w:szCs w:val="10"/>
              </w:rPr>
            </w:pPr>
            <w:r>
              <w:rPr>
                <w:b/>
                <w:sz w:val="10"/>
                <w:szCs w:val="10"/>
              </w:rPr>
              <w:t>___________________________________</w:t>
            </w:r>
            <w:r w:rsidR="00741D30">
              <w:rPr>
                <w:b/>
                <w:sz w:val="10"/>
                <w:szCs w:val="10"/>
              </w:rPr>
              <w:t>_________________________</w:t>
            </w:r>
          </w:p>
        </w:tc>
      </w:tr>
      <w:tr w:rsidR="00720469" w14:paraId="14DD9ADA" w14:textId="77777777" w:rsidTr="00720469">
        <w:trPr>
          <w:gridBefore w:val="2"/>
          <w:gridAfter w:val="1"/>
          <w:wBefore w:w="567" w:type="dxa"/>
          <w:wAfter w:w="142" w:type="dxa"/>
        </w:trPr>
        <w:tc>
          <w:tcPr>
            <w:tcW w:w="3544" w:type="dxa"/>
            <w:gridSpan w:val="2"/>
          </w:tcPr>
          <w:p w14:paraId="51E3ECCC" w14:textId="3E911178" w:rsidR="00720469" w:rsidRDefault="00720469" w:rsidP="007E188B">
            <w:pPr>
              <w:spacing w:before="120"/>
              <w:ind w:right="0"/>
            </w:pPr>
            <w:r>
              <w:rPr>
                <w:rFonts w:eastAsia="Times New Roman"/>
                <w:sz w:val="26"/>
                <w:szCs w:val="26"/>
              </w:rPr>
              <w:t xml:space="preserve"> Số:</w:t>
            </w:r>
            <w:r w:rsidR="007E188B">
              <w:rPr>
                <w:rFonts w:eastAsia="Times New Roman"/>
                <w:sz w:val="26"/>
                <w:szCs w:val="26"/>
              </w:rPr>
              <w:t xml:space="preserve">         </w:t>
            </w:r>
            <w:r w:rsidRPr="00022650">
              <w:rPr>
                <w:rFonts w:eastAsia="Times New Roman"/>
                <w:sz w:val="26"/>
                <w:szCs w:val="26"/>
              </w:rPr>
              <w:t>/</w:t>
            </w:r>
            <w:r>
              <w:rPr>
                <w:rFonts w:eastAsia="Times New Roman"/>
                <w:sz w:val="26"/>
                <w:szCs w:val="26"/>
              </w:rPr>
              <w:t>HDLS-</w:t>
            </w:r>
            <w:r w:rsidRPr="00022650">
              <w:rPr>
                <w:rFonts w:eastAsia="Times New Roman"/>
                <w:sz w:val="26"/>
                <w:szCs w:val="26"/>
              </w:rPr>
              <w:t>STC-</w:t>
            </w:r>
            <w:r>
              <w:rPr>
                <w:rFonts w:eastAsia="Times New Roman"/>
                <w:sz w:val="26"/>
                <w:szCs w:val="26"/>
              </w:rPr>
              <w:t>SGDĐT</w:t>
            </w:r>
            <w:r>
              <w:rPr>
                <w:sz w:val="10"/>
                <w:szCs w:val="10"/>
              </w:rPr>
              <w:t xml:space="preserve"> </w:t>
            </w:r>
          </w:p>
        </w:tc>
        <w:tc>
          <w:tcPr>
            <w:tcW w:w="5670" w:type="dxa"/>
            <w:gridSpan w:val="3"/>
          </w:tcPr>
          <w:p w14:paraId="30004180" w14:textId="78D67181" w:rsidR="00720469" w:rsidRDefault="00720469" w:rsidP="002B6B22">
            <w:pPr>
              <w:spacing w:before="120"/>
              <w:ind w:right="0"/>
            </w:pPr>
            <w:r>
              <w:rPr>
                <w:i/>
                <w:sz w:val="26"/>
                <w:szCs w:val="26"/>
              </w:rPr>
              <w:t>Thành phố Hồ Chí Minh, ngày     tháng    năm 2020</w:t>
            </w:r>
          </w:p>
        </w:tc>
      </w:tr>
      <w:tr w:rsidR="00720469" w14:paraId="45AECCA5" w14:textId="77777777" w:rsidTr="00720469">
        <w:trPr>
          <w:gridBefore w:val="1"/>
          <w:gridAfter w:val="2"/>
          <w:wBefore w:w="459" w:type="dxa"/>
          <w:wAfter w:w="318" w:type="dxa"/>
          <w:trHeight w:val="1513"/>
        </w:trPr>
        <w:tc>
          <w:tcPr>
            <w:tcW w:w="3369" w:type="dxa"/>
            <w:gridSpan w:val="2"/>
          </w:tcPr>
          <w:p w14:paraId="36ABA7FD" w14:textId="04774692" w:rsidR="00720469" w:rsidRPr="00720469" w:rsidRDefault="00720469" w:rsidP="00137948">
            <w:pPr>
              <w:ind w:left="142" w:right="0" w:hanging="142"/>
              <w:rPr>
                <w:sz w:val="24"/>
                <w:szCs w:val="24"/>
              </w:rPr>
            </w:pPr>
            <w:r w:rsidRPr="00720469">
              <w:rPr>
                <w:rFonts w:eastAsia="Times New Roman"/>
                <w:sz w:val="24"/>
                <w:szCs w:val="24"/>
              </w:rPr>
              <w:t xml:space="preserve">  V/v hướng dẫn quản lý, sử dụng kinh phí thực hiện Chương trình sữa học đường trên địa bàn thành phố.</w:t>
            </w:r>
          </w:p>
        </w:tc>
        <w:tc>
          <w:tcPr>
            <w:tcW w:w="5777" w:type="dxa"/>
            <w:gridSpan w:val="3"/>
          </w:tcPr>
          <w:p w14:paraId="72586F32" w14:textId="77777777" w:rsidR="00720469" w:rsidRDefault="00720469" w:rsidP="00DB386B">
            <w:pPr>
              <w:spacing w:before="120"/>
              <w:ind w:right="0"/>
            </w:pPr>
          </w:p>
        </w:tc>
      </w:tr>
      <w:tr w:rsidR="00720469" w14:paraId="09002873" w14:textId="77777777" w:rsidTr="00812D20">
        <w:trPr>
          <w:gridBefore w:val="1"/>
          <w:gridAfter w:val="2"/>
          <w:wBefore w:w="459" w:type="dxa"/>
          <w:wAfter w:w="318" w:type="dxa"/>
        </w:trPr>
        <w:tc>
          <w:tcPr>
            <w:tcW w:w="3369" w:type="dxa"/>
            <w:gridSpan w:val="2"/>
          </w:tcPr>
          <w:p w14:paraId="542FCC8A" w14:textId="21EED418" w:rsidR="00720469" w:rsidRDefault="00720469" w:rsidP="00720469">
            <w:pPr>
              <w:spacing w:before="120"/>
              <w:ind w:right="0"/>
              <w:jc w:val="right"/>
            </w:pPr>
            <w:r w:rsidRPr="00022650">
              <w:rPr>
                <w:rFonts w:eastAsia="Times New Roman"/>
                <w:szCs w:val="28"/>
              </w:rPr>
              <w:t>Kính gửi:</w:t>
            </w:r>
            <w:r>
              <w:rPr>
                <w:rFonts w:eastAsia="Times New Roman"/>
                <w:szCs w:val="28"/>
              </w:rPr>
              <w:t xml:space="preserve"> </w:t>
            </w:r>
          </w:p>
        </w:tc>
        <w:tc>
          <w:tcPr>
            <w:tcW w:w="5777" w:type="dxa"/>
            <w:gridSpan w:val="3"/>
          </w:tcPr>
          <w:p w14:paraId="662DCCA9" w14:textId="624B6420" w:rsidR="00720469" w:rsidRDefault="00720469" w:rsidP="00137948">
            <w:pPr>
              <w:ind w:right="-210"/>
              <w:rPr>
                <w:rFonts w:eastAsia="Times New Roman"/>
                <w:szCs w:val="28"/>
              </w:rPr>
            </w:pPr>
            <w:r>
              <w:rPr>
                <w:rFonts w:eastAsia="Times New Roman"/>
                <w:szCs w:val="28"/>
              </w:rPr>
              <w:t>- Sở Y tế;</w:t>
            </w:r>
          </w:p>
          <w:p w14:paraId="06114F62" w14:textId="77777777" w:rsidR="00720469" w:rsidRDefault="00720469" w:rsidP="00137948">
            <w:pPr>
              <w:ind w:right="-210"/>
              <w:rPr>
                <w:rFonts w:eastAsia="Times New Roman"/>
                <w:szCs w:val="28"/>
              </w:rPr>
            </w:pPr>
            <w:r>
              <w:rPr>
                <w:rFonts w:eastAsia="Times New Roman"/>
                <w:szCs w:val="28"/>
              </w:rPr>
              <w:t>- Sở Tư pháp;</w:t>
            </w:r>
          </w:p>
          <w:p w14:paraId="611F09DD" w14:textId="77777777" w:rsidR="00720469" w:rsidRDefault="00720469" w:rsidP="00137948">
            <w:pPr>
              <w:ind w:right="-210"/>
              <w:rPr>
                <w:rFonts w:eastAsia="Times New Roman"/>
                <w:szCs w:val="28"/>
              </w:rPr>
            </w:pPr>
            <w:r>
              <w:rPr>
                <w:rFonts w:eastAsia="Times New Roman"/>
                <w:szCs w:val="28"/>
              </w:rPr>
              <w:t>- Ban Quản lý An toàn thực phẩm thành phố;</w:t>
            </w:r>
          </w:p>
          <w:p w14:paraId="48C6ADA3" w14:textId="7ECA4404" w:rsidR="00720469" w:rsidRDefault="00720469" w:rsidP="00137948">
            <w:pPr>
              <w:spacing w:before="120"/>
              <w:ind w:right="0"/>
            </w:pPr>
            <w:r>
              <w:rPr>
                <w:rFonts w:eastAsia="Times New Roman"/>
                <w:szCs w:val="28"/>
              </w:rPr>
              <w:t>- Ủy ban nhân dân 24 quận - huyện.</w:t>
            </w:r>
          </w:p>
        </w:tc>
      </w:tr>
    </w:tbl>
    <w:p w14:paraId="3F659AE9" w14:textId="77777777" w:rsidR="00720469" w:rsidRDefault="00720469" w:rsidP="002B6B22">
      <w:pPr>
        <w:spacing w:before="120" w:after="0" w:line="240" w:lineRule="auto"/>
        <w:ind w:right="0"/>
      </w:pPr>
    </w:p>
    <w:p w14:paraId="2D2A970B" w14:textId="77777777" w:rsidR="00720469" w:rsidRPr="00A40A6A" w:rsidRDefault="00720469" w:rsidP="00720469">
      <w:pPr>
        <w:spacing w:before="120" w:after="120" w:line="240" w:lineRule="auto"/>
        <w:ind w:right="-1" w:firstLine="720"/>
        <w:rPr>
          <w:szCs w:val="28"/>
        </w:rPr>
      </w:pPr>
      <w:r w:rsidRPr="00A40A6A">
        <w:rPr>
          <w:szCs w:val="28"/>
        </w:rPr>
        <w:t>Căn cứ Nghị quyết số 14/2019/NQ-HĐND ngày 9 tháng 12 năm 2019 của Hội đồng nhân dân thành phố về tiếp tục thực hiện Đề án Chương trình sữa học đường cải thiện tình trạng dinh dưỡng góp phần nâng cao tầm vóc trẻ em mẫu giáo và học sinh tiểu học giai đoạn 2018 - 2020 trên địa bàn Thành phố Hồ Chí Minh;</w:t>
      </w:r>
    </w:p>
    <w:p w14:paraId="55F153A4" w14:textId="77777777" w:rsidR="00720469" w:rsidRPr="00A40A6A" w:rsidRDefault="00720469" w:rsidP="00720469">
      <w:pPr>
        <w:spacing w:before="120" w:after="120" w:line="240" w:lineRule="auto"/>
        <w:ind w:right="-1" w:firstLine="720"/>
        <w:rPr>
          <w:szCs w:val="28"/>
        </w:rPr>
      </w:pPr>
      <w:r w:rsidRPr="00A40A6A">
        <w:rPr>
          <w:szCs w:val="28"/>
        </w:rPr>
        <w:t>Căn cứ Nghị quyết số 03/2020/NQ-HĐND ngày 11 tháng 7 năm 2020 của Hội đồng nhân dân thành phố về tiếp tục thực hiện Đề án Chương trình sữa học đường cải thiện tình trạng dinh dưỡng góp phần nâng cao tầm vóc trẻ em mẫu giáo và học sinh tiểu học giai đoạn 2018 - 2020 trên địa bàn Thành phố Hồ Chí Minh;</w:t>
      </w:r>
    </w:p>
    <w:p w14:paraId="2622A1D5" w14:textId="77777777" w:rsidR="00720469" w:rsidRPr="00A40A6A" w:rsidRDefault="00720469" w:rsidP="00720469">
      <w:pPr>
        <w:spacing w:before="120" w:after="120" w:line="240" w:lineRule="auto"/>
        <w:ind w:right="-1" w:firstLine="720"/>
        <w:rPr>
          <w:szCs w:val="28"/>
        </w:rPr>
      </w:pPr>
      <w:r w:rsidRPr="00A40A6A">
        <w:rPr>
          <w:szCs w:val="28"/>
        </w:rPr>
        <w:t>Căn cứ Nghị quyết số 04/2020/NQ-HĐND ngày 11 tháng 7 năm 2020 của Hội đồng nhân dân thành phố về sửa đổi Khoản 6 Điều 1 Nghị quyết 14/2019/NQ-HĐND ngày 09 tháng 12 năm 2019 về tiếp tục thực hiện Đề án Chương trình sữa học đường cải thiện tình trạng dinh dưỡng góp phần nâng cao tầm vóc trẻ em mẫu giáo và học sinh tiểu học giai đoạn 2018 - 2020 trên địa bàn Thành phố Hồ Chí Minh;</w:t>
      </w:r>
    </w:p>
    <w:p w14:paraId="19A72765" w14:textId="77777777" w:rsidR="00720469" w:rsidRPr="00A40A6A" w:rsidRDefault="00720469" w:rsidP="00720469">
      <w:pPr>
        <w:spacing w:before="120" w:after="120" w:line="240" w:lineRule="auto"/>
        <w:ind w:right="-1" w:firstLine="720"/>
        <w:rPr>
          <w:szCs w:val="28"/>
        </w:rPr>
      </w:pPr>
      <w:r w:rsidRPr="00A40A6A">
        <w:rPr>
          <w:szCs w:val="28"/>
        </w:rPr>
        <w:t>Căn cứ Quyết định số 3126/QĐ-UBND ngày 26 tháng 8 năm 2020 của UBND thành phố về phê duyệt điều chỉnh Đề án thực hiện Chương trình sữa học đường cải thiện tình trạng dinh dưỡng góp phần nâng cao tầm vóc trẻ em mẫu giáo và học sinh tiểu học giai đoạn 2018 - 2020 trên địa bàn Thành phố Hồ Chí Minh;</w:t>
      </w:r>
    </w:p>
    <w:p w14:paraId="3C9F1E51" w14:textId="46873B03" w:rsidR="00720469" w:rsidRPr="00C15818" w:rsidRDefault="00720469" w:rsidP="00720469">
      <w:pPr>
        <w:spacing w:before="120" w:after="120" w:line="240" w:lineRule="auto"/>
        <w:ind w:right="-1" w:firstLine="720"/>
        <w:rPr>
          <w:szCs w:val="28"/>
        </w:rPr>
      </w:pPr>
      <w:r w:rsidRPr="00A40A6A">
        <w:rPr>
          <w:szCs w:val="28"/>
        </w:rPr>
        <w:t xml:space="preserve">Căn cứ Công văn số 2701/GDĐT-CTTT ngày 28 tháng 8 năm 2020 của </w:t>
      </w:r>
      <w:r w:rsidRPr="00C15818">
        <w:rPr>
          <w:szCs w:val="28"/>
        </w:rPr>
        <w:t>Sở Giáo dục và Đào tạo về hướng dẫn triển khai chương trình Sữa học đường trên địa bàn Thành phố trong tháng 9,</w:t>
      </w:r>
      <w:r w:rsidR="004946A8">
        <w:rPr>
          <w:szCs w:val="28"/>
        </w:rPr>
        <w:t xml:space="preserve"> tháng </w:t>
      </w:r>
      <w:r w:rsidRPr="00C15818">
        <w:rPr>
          <w:szCs w:val="28"/>
        </w:rPr>
        <w:t>10 học kỳ 1 năm học 2020-2021;</w:t>
      </w:r>
    </w:p>
    <w:p w14:paraId="3F5ACDFC" w14:textId="4CEFC033" w:rsidR="00720469" w:rsidRPr="00C15818" w:rsidRDefault="00720469" w:rsidP="00720469">
      <w:pPr>
        <w:spacing w:before="120" w:after="120" w:line="240" w:lineRule="auto"/>
        <w:ind w:right="-1" w:firstLine="720"/>
        <w:rPr>
          <w:szCs w:val="28"/>
        </w:rPr>
      </w:pPr>
      <w:r w:rsidRPr="00C15818">
        <w:rPr>
          <w:szCs w:val="28"/>
        </w:rPr>
        <w:lastRenderedPageBreak/>
        <w:t>Căn cứ Công văn số 3529/GDĐT-CTTT ngày 26 tháng 10 năm 2020 của Sở Giáo dục và Đào tạo về hướng dẫn triển khai chương trình Sữa học đường trên địa bàn Thành phố trong tháng 11,</w:t>
      </w:r>
      <w:r w:rsidR="004946A8">
        <w:rPr>
          <w:szCs w:val="28"/>
        </w:rPr>
        <w:t xml:space="preserve"> tháng </w:t>
      </w:r>
      <w:r w:rsidRPr="00C15818">
        <w:rPr>
          <w:szCs w:val="28"/>
        </w:rPr>
        <w:t>12 học kỳ 1 năm học 2020-2021;</w:t>
      </w:r>
    </w:p>
    <w:p w14:paraId="3B98B851" w14:textId="260D6483" w:rsidR="00720469" w:rsidRPr="00C15818" w:rsidRDefault="00720469" w:rsidP="00720469">
      <w:pPr>
        <w:spacing w:before="120" w:after="120" w:line="240" w:lineRule="auto"/>
        <w:ind w:right="-1" w:firstLine="720"/>
        <w:rPr>
          <w:szCs w:val="28"/>
        </w:rPr>
      </w:pPr>
      <w:r w:rsidRPr="00C15818">
        <w:rPr>
          <w:szCs w:val="28"/>
        </w:rPr>
        <w:t>Căn cứ Hợp đồng sửa đổi thỏa thuận khung số</w:t>
      </w:r>
      <w:r w:rsidR="00772EF4" w:rsidRPr="00C15818">
        <w:rPr>
          <w:szCs w:val="28"/>
        </w:rPr>
        <w:t xml:space="preserve"> 01/TTK-TTĐG lần 2 ngày </w:t>
      </w:r>
      <w:r w:rsidR="004946A8">
        <w:rPr>
          <w:szCs w:val="28"/>
        </w:rPr>
        <w:t>0</w:t>
      </w:r>
      <w:r w:rsidR="00772EF4" w:rsidRPr="00C15818">
        <w:rPr>
          <w:szCs w:val="28"/>
        </w:rPr>
        <w:t xml:space="preserve">5 tháng </w:t>
      </w:r>
      <w:r w:rsidR="004946A8">
        <w:rPr>
          <w:szCs w:val="28"/>
        </w:rPr>
        <w:t>0</w:t>
      </w:r>
      <w:r w:rsidR="00772EF4" w:rsidRPr="00C15818">
        <w:rPr>
          <w:szCs w:val="28"/>
        </w:rPr>
        <w:t xml:space="preserve">6 năm </w:t>
      </w:r>
      <w:r w:rsidRPr="00C15818">
        <w:rPr>
          <w:szCs w:val="28"/>
        </w:rPr>
        <w:t>2020</w:t>
      </w:r>
      <w:r w:rsidR="00772EF4" w:rsidRPr="00C15818">
        <w:rPr>
          <w:szCs w:val="28"/>
        </w:rPr>
        <w:t>, Hợp đồng sửa đổi thỏa thuận khung số 01/TTK-TTĐG lần 3 ngày 9 tháng 10 năm 2020 và</w:t>
      </w:r>
      <w:r w:rsidRPr="00C15818">
        <w:rPr>
          <w:szCs w:val="28"/>
        </w:rPr>
        <w:t xml:space="preserve"> Thỏa thuận khung mua sắm tập trung </w:t>
      </w:r>
      <w:r w:rsidR="00772EF4" w:rsidRPr="00C15818">
        <w:rPr>
          <w:szCs w:val="28"/>
        </w:rPr>
        <w:t>ngày 5 tháng 11 năm 2020</w:t>
      </w:r>
      <w:r w:rsidRPr="00C15818">
        <w:rPr>
          <w:szCs w:val="28"/>
        </w:rPr>
        <w:t xml:space="preserve"> giữa Trung tâm dịch vụ đấu giá tài sản </w:t>
      </w:r>
      <w:r w:rsidR="00772EF4" w:rsidRPr="00C15818">
        <w:rPr>
          <w:szCs w:val="28"/>
        </w:rPr>
        <w:t xml:space="preserve">Thành phố Hồ Chí Minh </w:t>
      </w:r>
      <w:r w:rsidRPr="00C15818">
        <w:rPr>
          <w:szCs w:val="28"/>
        </w:rPr>
        <w:t>và đơn vị cung cấp sữa;</w:t>
      </w:r>
    </w:p>
    <w:p w14:paraId="6CE3D257" w14:textId="2A328B4B" w:rsidR="00720469" w:rsidRPr="00C15818" w:rsidRDefault="00720469" w:rsidP="00720469">
      <w:pPr>
        <w:spacing w:before="120" w:after="120" w:line="240" w:lineRule="auto"/>
        <w:ind w:right="-1" w:firstLine="720"/>
        <w:rPr>
          <w:szCs w:val="28"/>
        </w:rPr>
      </w:pPr>
      <w:r w:rsidRPr="00C15818">
        <w:rPr>
          <w:szCs w:val="28"/>
        </w:rPr>
        <w:t xml:space="preserve">Căn cứ các quy định về quản lý tài chính - ngân sách hiện hành; để triển khai Đề án thực hiện Đề án Chương trình sữa học đường cải thiện tình trạng dinh dưỡng góp phần nâng cao tầm vóc trẻ em mẫu giáo và học sinh tiểu học giai đoạn 2018 - 2020 trên địa bàn phố Hồ Chí Minh đảm bảo kịp thời đúng đối tượng; Liên Sở Tài chính - Sở Giáo dục và Đào tạo hướng dẫn việc quản lý, sử dụng và thanh quyết toán kinh phí thực hiện Chương trình sữa học đường </w:t>
      </w:r>
      <w:r w:rsidR="004946A8">
        <w:rPr>
          <w:szCs w:val="28"/>
        </w:rPr>
        <w:t xml:space="preserve">tháng 9, tháng 10, tháng 11 và tháng 12 </w:t>
      </w:r>
      <w:r w:rsidRPr="00C15818">
        <w:rPr>
          <w:szCs w:val="28"/>
        </w:rPr>
        <w:t>như sau:</w:t>
      </w:r>
    </w:p>
    <w:p w14:paraId="7B09486A" w14:textId="77777777" w:rsidR="00720469" w:rsidRPr="00C15818" w:rsidRDefault="00720469" w:rsidP="00720469">
      <w:pPr>
        <w:numPr>
          <w:ilvl w:val="0"/>
          <w:numId w:val="5"/>
        </w:numPr>
        <w:spacing w:before="120" w:after="120" w:line="240" w:lineRule="auto"/>
        <w:ind w:right="-1"/>
        <w:rPr>
          <w:b/>
          <w:szCs w:val="28"/>
        </w:rPr>
      </w:pPr>
      <w:r w:rsidRPr="00C15818">
        <w:rPr>
          <w:b/>
          <w:szCs w:val="28"/>
        </w:rPr>
        <w:t>Đối tượng, thời gian và định mức thụ hưởng</w:t>
      </w:r>
    </w:p>
    <w:p w14:paraId="2E2C119B" w14:textId="77777777" w:rsidR="00720469" w:rsidRPr="00C15818" w:rsidRDefault="00720469" w:rsidP="00720469">
      <w:pPr>
        <w:pStyle w:val="ListParagraph"/>
        <w:spacing w:before="120" w:after="120" w:line="240" w:lineRule="auto"/>
        <w:ind w:left="710" w:right="-1"/>
        <w:contextualSpacing w:val="0"/>
        <w:rPr>
          <w:szCs w:val="28"/>
        </w:rPr>
      </w:pPr>
      <w:r w:rsidRPr="00C15818">
        <w:rPr>
          <w:szCs w:val="28"/>
        </w:rPr>
        <w:t>a) Đối tượng thụ hưởng:</w:t>
      </w:r>
    </w:p>
    <w:p w14:paraId="6BAC2DF7" w14:textId="77777777" w:rsidR="00720469" w:rsidRPr="00C15818" w:rsidRDefault="00720469" w:rsidP="00720469">
      <w:pPr>
        <w:spacing w:before="120" w:after="120" w:line="240" w:lineRule="auto"/>
        <w:ind w:right="-1" w:firstLine="720"/>
        <w:rPr>
          <w:rFonts w:eastAsia="Times New Roman"/>
          <w:szCs w:val="28"/>
          <w:lang w:val="es-ES"/>
        </w:rPr>
      </w:pPr>
      <w:r w:rsidRPr="00C15818">
        <w:rPr>
          <w:rFonts w:eastAsia="Times New Roman"/>
          <w:szCs w:val="28"/>
          <w:lang w:val="es-ES"/>
        </w:rPr>
        <w:t>- T</w:t>
      </w:r>
      <w:r w:rsidRPr="00C15818">
        <w:rPr>
          <w:rFonts w:eastAsia="Times New Roman"/>
          <w:bCs/>
          <w:szCs w:val="28"/>
          <w:lang w:val="es-ES"/>
        </w:rPr>
        <w:t>rẻ e</w:t>
      </w:r>
      <w:r w:rsidRPr="00C15818">
        <w:rPr>
          <w:rFonts w:eastAsia="Times New Roman"/>
          <w:bCs/>
          <w:szCs w:val="28"/>
        </w:rPr>
        <w:t>m</w:t>
      </w:r>
      <w:r w:rsidRPr="00C15818">
        <w:rPr>
          <w:rFonts w:eastAsia="Times New Roman"/>
          <w:bCs/>
          <w:szCs w:val="28"/>
          <w:lang w:val="es-ES"/>
        </w:rPr>
        <w:t xml:space="preserve"> mẫu giáo và học sinh tiểu học </w:t>
      </w:r>
      <w:r w:rsidRPr="00C15818">
        <w:rPr>
          <w:rFonts w:eastAsia="Times New Roman"/>
          <w:szCs w:val="28"/>
          <w:lang w:val="vi-VN"/>
        </w:rPr>
        <w:t>lớp 1</w:t>
      </w:r>
      <w:r w:rsidRPr="00C15818">
        <w:rPr>
          <w:rFonts w:eastAsia="Times New Roman"/>
          <w:szCs w:val="28"/>
        </w:rPr>
        <w:t xml:space="preserve"> </w:t>
      </w:r>
      <w:r w:rsidRPr="00C15818">
        <w:rPr>
          <w:rFonts w:eastAsia="Times New Roman"/>
          <w:bCs/>
          <w:szCs w:val="28"/>
          <w:lang w:val="es-ES"/>
        </w:rPr>
        <w:t>trong các trường công lập, ngoài công lập và trẻ e</w:t>
      </w:r>
      <w:r w:rsidRPr="00C15818">
        <w:rPr>
          <w:rFonts w:eastAsia="Times New Roman"/>
          <w:bCs/>
          <w:szCs w:val="28"/>
        </w:rPr>
        <w:t xml:space="preserve">m </w:t>
      </w:r>
      <w:r w:rsidRPr="00C15818">
        <w:rPr>
          <w:rFonts w:eastAsia="Times New Roman"/>
          <w:bCs/>
          <w:szCs w:val="28"/>
          <w:lang w:val="es-ES"/>
        </w:rPr>
        <w:t xml:space="preserve">học tại lớp mẫu giáo độc lập tư thục </w:t>
      </w:r>
      <w:r w:rsidRPr="00C15818">
        <w:rPr>
          <w:bCs/>
          <w:szCs w:val="28"/>
        </w:rPr>
        <w:t xml:space="preserve">trên địa bàn 24 </w:t>
      </w:r>
      <w:r w:rsidRPr="00C15818">
        <w:rPr>
          <w:bCs/>
          <w:spacing w:val="-4"/>
          <w:szCs w:val="28"/>
        </w:rPr>
        <w:t>quận, huyện;</w:t>
      </w:r>
    </w:p>
    <w:p w14:paraId="476C4195" w14:textId="77777777" w:rsidR="00720469" w:rsidRPr="00C15818" w:rsidRDefault="00720469" w:rsidP="00720469">
      <w:pPr>
        <w:spacing w:before="120" w:after="120" w:line="240" w:lineRule="auto"/>
        <w:ind w:right="-1" w:firstLine="720"/>
        <w:rPr>
          <w:rFonts w:eastAsia="Times New Roman"/>
          <w:szCs w:val="28"/>
          <w:lang w:val="es-ES"/>
        </w:rPr>
      </w:pPr>
      <w:r w:rsidRPr="00C15818">
        <w:rPr>
          <w:rFonts w:eastAsia="Times New Roman"/>
          <w:szCs w:val="28"/>
          <w:lang w:val="es-ES"/>
        </w:rPr>
        <w:t xml:space="preserve">- Trẻ em mẫu giáo và học sinh tiểu học </w:t>
      </w:r>
      <w:r w:rsidRPr="00C15818">
        <w:rPr>
          <w:rFonts w:eastAsia="Times New Roman"/>
          <w:szCs w:val="28"/>
          <w:lang w:val="vi-VN"/>
        </w:rPr>
        <w:t xml:space="preserve">lớp 1 </w:t>
      </w:r>
      <w:r w:rsidRPr="00C15818">
        <w:rPr>
          <w:rFonts w:eastAsia="Times New Roman"/>
          <w:szCs w:val="28"/>
          <w:lang w:val="es-ES"/>
        </w:rPr>
        <w:t xml:space="preserve">sống tại các cơ sở bảo trợ xã hội công lập và ngoài công lập đang học tại các trường học tham gia Đề án </w:t>
      </w:r>
      <w:r w:rsidRPr="00C15818">
        <w:rPr>
          <w:rFonts w:eastAsia="Times New Roman"/>
          <w:szCs w:val="28"/>
          <w:lang w:val="vi-VN"/>
        </w:rPr>
        <w:t xml:space="preserve">Chương trình </w:t>
      </w:r>
      <w:r w:rsidRPr="00C15818">
        <w:rPr>
          <w:rFonts w:eastAsia="Times New Roman"/>
          <w:szCs w:val="28"/>
          <w:lang w:val="es-ES"/>
        </w:rPr>
        <w:t>S</w:t>
      </w:r>
      <w:r w:rsidRPr="00C15818">
        <w:rPr>
          <w:rFonts w:eastAsia="Times New Roman"/>
          <w:szCs w:val="28"/>
          <w:lang w:val="vi-VN"/>
        </w:rPr>
        <w:t>ữa học đường</w:t>
      </w:r>
      <w:r w:rsidRPr="00C15818">
        <w:rPr>
          <w:bCs/>
          <w:szCs w:val="28"/>
          <w:lang w:val="es-ES"/>
        </w:rPr>
        <w:t>.</w:t>
      </w:r>
    </w:p>
    <w:p w14:paraId="1F1CDDDA" w14:textId="77777777" w:rsidR="00720469" w:rsidRPr="00C15818" w:rsidRDefault="00720469" w:rsidP="00720469">
      <w:pPr>
        <w:pStyle w:val="ListParagraph"/>
        <w:tabs>
          <w:tab w:val="left" w:pos="567"/>
        </w:tabs>
        <w:spacing w:before="120" w:after="120" w:line="240" w:lineRule="auto"/>
        <w:ind w:left="0" w:right="-1"/>
        <w:contextualSpacing w:val="0"/>
        <w:rPr>
          <w:szCs w:val="28"/>
          <w:lang w:val="es-ES"/>
        </w:rPr>
      </w:pPr>
      <w:r w:rsidRPr="00C15818">
        <w:rPr>
          <w:szCs w:val="28"/>
          <w:lang w:val="es-ES"/>
        </w:rPr>
        <w:tab/>
        <w:t xml:space="preserve">  b) Thời gian thụ hưởng: </w:t>
      </w:r>
    </w:p>
    <w:p w14:paraId="3177BD2D" w14:textId="08ABA053" w:rsidR="00720469" w:rsidRPr="00C15818" w:rsidRDefault="00720469" w:rsidP="00720469">
      <w:pPr>
        <w:spacing w:before="120" w:after="120" w:line="240" w:lineRule="auto"/>
        <w:ind w:right="-1" w:firstLine="720"/>
        <w:rPr>
          <w:szCs w:val="28"/>
          <w:lang w:val="es-ES"/>
        </w:rPr>
      </w:pPr>
      <w:r w:rsidRPr="00C15818">
        <w:rPr>
          <w:bCs/>
          <w:szCs w:val="28"/>
          <w:lang w:val="es-ES"/>
        </w:rPr>
        <w:t xml:space="preserve">+ </w:t>
      </w:r>
      <w:r w:rsidR="004946A8">
        <w:rPr>
          <w:bCs/>
          <w:szCs w:val="28"/>
          <w:lang w:val="es-ES"/>
        </w:rPr>
        <w:t xml:space="preserve">Tháng 9 và </w:t>
      </w:r>
      <w:r w:rsidRPr="00C15818">
        <w:rPr>
          <w:bCs/>
          <w:szCs w:val="28"/>
          <w:lang w:val="es-ES"/>
        </w:rPr>
        <w:t>tháng 10/2020 học kỳ 1 năm họ</w:t>
      </w:r>
      <w:r w:rsidR="004946A8">
        <w:rPr>
          <w:bCs/>
          <w:szCs w:val="28"/>
          <w:lang w:val="es-ES"/>
        </w:rPr>
        <w:t>c 2020 – 2021 (bắt đầu uống từ ngày 7/9/2020)</w:t>
      </w:r>
      <w:r w:rsidRPr="00C15818">
        <w:rPr>
          <w:bCs/>
          <w:szCs w:val="28"/>
          <w:lang w:val="es-ES"/>
        </w:rPr>
        <w:t>: đối với trẻ em mẫu giáo và tiểu học lớp 1 trên địa bàn 10 quận huyện:</w:t>
      </w:r>
      <w:r w:rsidRPr="00C15818">
        <w:rPr>
          <w:bCs/>
          <w:spacing w:val="-4"/>
          <w:szCs w:val="28"/>
        </w:rPr>
        <w:t xml:space="preserve"> 9, 12, Thủ Đức, Tân Phú, Bình Tân, Củ Chi, Hóc Môn, </w:t>
      </w:r>
      <w:r w:rsidRPr="00C15818">
        <w:rPr>
          <w:bCs/>
          <w:spacing w:val="-4"/>
          <w:szCs w:val="28"/>
          <w:lang w:val="es-ES"/>
        </w:rPr>
        <w:t>Bình</w:t>
      </w:r>
      <w:r w:rsidRPr="00C15818">
        <w:rPr>
          <w:bCs/>
          <w:szCs w:val="28"/>
          <w:lang w:val="es-ES"/>
        </w:rPr>
        <w:t xml:space="preserve"> Chánh, Nhà Bè, Cần Giờ;</w:t>
      </w:r>
    </w:p>
    <w:p w14:paraId="59A13E0A" w14:textId="4B6D1D9D" w:rsidR="00720469" w:rsidRPr="00C15818" w:rsidRDefault="00720469" w:rsidP="00720469">
      <w:pPr>
        <w:spacing w:before="120" w:after="120" w:line="240" w:lineRule="auto"/>
        <w:ind w:right="-1" w:firstLine="720"/>
        <w:rPr>
          <w:szCs w:val="28"/>
          <w:lang w:val="es-ES"/>
        </w:rPr>
      </w:pPr>
      <w:r w:rsidRPr="00C15818">
        <w:rPr>
          <w:bCs/>
          <w:szCs w:val="28"/>
          <w:lang w:val="es-ES"/>
        </w:rPr>
        <w:t xml:space="preserve">+ Tháng 11 và tháng 12/2020 học kỳ 1 năm học 2020 </w:t>
      </w:r>
      <w:r w:rsidR="00772EF4" w:rsidRPr="00C15818">
        <w:rPr>
          <w:bCs/>
          <w:szCs w:val="28"/>
          <w:lang w:val="es-ES"/>
        </w:rPr>
        <w:t xml:space="preserve">– </w:t>
      </w:r>
      <w:r w:rsidR="004946A8">
        <w:rPr>
          <w:bCs/>
          <w:szCs w:val="28"/>
          <w:lang w:val="es-ES"/>
        </w:rPr>
        <w:t>2021 (bắt đầu uống từ ngày 10/11/2020)</w:t>
      </w:r>
      <w:r w:rsidR="004946A8" w:rsidRPr="00C15818">
        <w:rPr>
          <w:bCs/>
          <w:szCs w:val="28"/>
          <w:lang w:val="es-ES"/>
        </w:rPr>
        <w:t>:</w:t>
      </w:r>
      <w:r w:rsidRPr="00C15818">
        <w:rPr>
          <w:bCs/>
          <w:szCs w:val="28"/>
          <w:lang w:val="es-ES"/>
        </w:rPr>
        <w:t xml:space="preserve"> đối với trẻ em mẫu giáo và tiểu học lớp 1 trên địa bàn 24 quận huyện.</w:t>
      </w:r>
    </w:p>
    <w:p w14:paraId="19D5E58B" w14:textId="77777777" w:rsidR="00720469" w:rsidRPr="00C15818" w:rsidRDefault="00720469" w:rsidP="00720469">
      <w:pPr>
        <w:pStyle w:val="ListParagraph"/>
        <w:tabs>
          <w:tab w:val="left" w:pos="567"/>
        </w:tabs>
        <w:spacing w:before="120" w:after="120" w:line="240" w:lineRule="auto"/>
        <w:ind w:right="-1"/>
        <w:contextualSpacing w:val="0"/>
        <w:rPr>
          <w:szCs w:val="28"/>
        </w:rPr>
      </w:pPr>
      <w:r w:rsidRPr="00C15818">
        <w:rPr>
          <w:szCs w:val="28"/>
        </w:rPr>
        <w:t>c) Định mức thụ hưởng:</w:t>
      </w:r>
    </w:p>
    <w:p w14:paraId="3DD3CC27" w14:textId="77777777" w:rsidR="00720469" w:rsidRPr="00C15818" w:rsidRDefault="00720469" w:rsidP="00720469">
      <w:pPr>
        <w:spacing w:before="120" w:after="120" w:line="240" w:lineRule="auto"/>
        <w:ind w:right="-1" w:firstLine="720"/>
        <w:rPr>
          <w:bCs/>
          <w:szCs w:val="28"/>
        </w:rPr>
      </w:pPr>
      <w:r w:rsidRPr="00C15818">
        <w:rPr>
          <w:bCs/>
          <w:szCs w:val="28"/>
        </w:rPr>
        <w:t>Mỗi trẻ em mẫu giáo và học sinh tiểu học lớp 1 được uống 1 hộp sữa dung tích 180ml/lần/ngày với 5 lần/tuần.</w:t>
      </w:r>
    </w:p>
    <w:p w14:paraId="014BD907" w14:textId="77777777" w:rsidR="00720469" w:rsidRPr="00C15818" w:rsidRDefault="00720469" w:rsidP="00720469">
      <w:pPr>
        <w:numPr>
          <w:ilvl w:val="0"/>
          <w:numId w:val="5"/>
        </w:numPr>
        <w:spacing w:before="120" w:after="120" w:line="240" w:lineRule="auto"/>
        <w:ind w:right="-1"/>
        <w:rPr>
          <w:b/>
          <w:szCs w:val="28"/>
        </w:rPr>
      </w:pPr>
      <w:r w:rsidRPr="00C15818">
        <w:rPr>
          <w:b/>
          <w:szCs w:val="28"/>
        </w:rPr>
        <w:t>Cơ chế tài chính triển khai thực hiện</w:t>
      </w:r>
    </w:p>
    <w:p w14:paraId="55D18163" w14:textId="77777777" w:rsidR="00720469" w:rsidRPr="00C15818" w:rsidRDefault="00720469" w:rsidP="00720469">
      <w:pPr>
        <w:numPr>
          <w:ilvl w:val="0"/>
          <w:numId w:val="6"/>
        </w:numPr>
        <w:spacing w:before="120" w:after="120" w:line="240" w:lineRule="auto"/>
        <w:ind w:right="-1"/>
        <w:rPr>
          <w:szCs w:val="28"/>
        </w:rPr>
      </w:pPr>
      <w:r w:rsidRPr="00C15818">
        <w:rPr>
          <w:szCs w:val="28"/>
        </w:rPr>
        <w:t xml:space="preserve">Mức hỗ trợ, đóng góp: </w:t>
      </w:r>
    </w:p>
    <w:p w14:paraId="615D945F" w14:textId="77777777" w:rsidR="00720469" w:rsidRPr="00C15818" w:rsidRDefault="00720469" w:rsidP="00720469">
      <w:pPr>
        <w:spacing w:before="120" w:after="120" w:line="240" w:lineRule="auto"/>
        <w:ind w:right="-1" w:firstLine="720"/>
        <w:rPr>
          <w:szCs w:val="28"/>
        </w:rPr>
      </w:pPr>
      <w:r w:rsidRPr="00C15818">
        <w:rPr>
          <w:szCs w:val="28"/>
        </w:rPr>
        <w:t xml:space="preserve">- Ngân sách hỗ trợ 30% (tương đương 1.815 đồng/hộp sữa), doanh nghiệp cung cấp sữa hỗ trợ 20% (tương đương 1.210 đồng/hộp sữa) và cha, </w:t>
      </w:r>
      <w:r w:rsidRPr="00C15818">
        <w:rPr>
          <w:szCs w:val="28"/>
        </w:rPr>
        <w:lastRenderedPageBreak/>
        <w:t>mẹ, người chăm sóc học sinh đóng góp 50% (tương đương 3.025 đồng/hộp sữa).</w:t>
      </w:r>
    </w:p>
    <w:p w14:paraId="5E11EAE9" w14:textId="77777777" w:rsidR="00720469" w:rsidRPr="00C15818" w:rsidRDefault="00720469" w:rsidP="00720469">
      <w:pPr>
        <w:spacing w:before="120" w:after="120" w:line="240" w:lineRule="auto"/>
        <w:ind w:right="-1" w:firstLine="720"/>
        <w:rPr>
          <w:szCs w:val="28"/>
        </w:rPr>
      </w:pPr>
      <w:r w:rsidRPr="00C15818">
        <w:rPr>
          <w:szCs w:val="28"/>
        </w:rPr>
        <w:t>- Riêng đối với học sinh thuộc diện hộ nghèo, hộ cận nghèo trên địa bàn thành phố; học sinh sống tại các cơ sở bảo trợ xã hội công lập và ngoài công lập (được cấp phép theo quy định của pháp luật) đang học tại các trường thực hiện Đề án: ngân sách hỗ trợ 50%, doanh nghiệp cung cấp sữa hỗ trợ 50%.</w:t>
      </w:r>
    </w:p>
    <w:p w14:paraId="706DC3C9" w14:textId="77777777" w:rsidR="00720469" w:rsidRPr="00C15818" w:rsidRDefault="00720469" w:rsidP="00720469">
      <w:pPr>
        <w:spacing w:before="120" w:after="120" w:line="240" w:lineRule="auto"/>
        <w:ind w:right="-1" w:firstLine="720"/>
        <w:rPr>
          <w:szCs w:val="28"/>
        </w:rPr>
      </w:pPr>
      <w:r w:rsidRPr="00C15818">
        <w:rPr>
          <w:szCs w:val="28"/>
        </w:rPr>
        <w:t xml:space="preserve">b) Thời gian hỗ trợ: thực hiện theo thời gian thụ hưởng. </w:t>
      </w:r>
    </w:p>
    <w:p w14:paraId="3DFCD960" w14:textId="77777777" w:rsidR="00720469" w:rsidRPr="00C15818" w:rsidRDefault="00720469" w:rsidP="00720469">
      <w:pPr>
        <w:spacing w:before="120" w:after="120" w:line="240" w:lineRule="auto"/>
        <w:ind w:right="-1" w:firstLine="720"/>
        <w:rPr>
          <w:szCs w:val="28"/>
        </w:rPr>
      </w:pPr>
      <w:r w:rsidRPr="00C15818">
        <w:rPr>
          <w:b/>
          <w:szCs w:val="28"/>
        </w:rPr>
        <w:t>3.</w:t>
      </w:r>
      <w:r w:rsidRPr="00C15818">
        <w:rPr>
          <w:szCs w:val="28"/>
        </w:rPr>
        <w:t xml:space="preserve"> </w:t>
      </w:r>
      <w:r w:rsidRPr="00C15818">
        <w:rPr>
          <w:b/>
          <w:spacing w:val="-4"/>
          <w:szCs w:val="28"/>
          <w:lang w:val="pt-BR"/>
        </w:rPr>
        <w:t>T</w:t>
      </w:r>
      <w:r w:rsidRPr="00C15818">
        <w:rPr>
          <w:b/>
          <w:spacing w:val="-4"/>
          <w:szCs w:val="28"/>
        </w:rPr>
        <w:t>riển</w:t>
      </w:r>
      <w:r w:rsidRPr="00C15818">
        <w:rPr>
          <w:b/>
          <w:szCs w:val="28"/>
        </w:rPr>
        <w:t xml:space="preserve"> khai ký hợp đồng chi tiết, tổ chức uống sữa, thanh quyết toán kinh phí với nhà cung cấp</w:t>
      </w:r>
    </w:p>
    <w:p w14:paraId="282C0C52" w14:textId="3415ED66" w:rsidR="00720469" w:rsidRPr="00C15818" w:rsidRDefault="00720469" w:rsidP="00720469">
      <w:pPr>
        <w:pStyle w:val="NormalWeb"/>
        <w:spacing w:before="120" w:beforeAutospacing="0" w:after="120" w:afterAutospacing="0"/>
        <w:ind w:right="-1" w:firstLine="720"/>
        <w:jc w:val="both"/>
        <w:rPr>
          <w:spacing w:val="-4"/>
          <w:sz w:val="28"/>
          <w:szCs w:val="28"/>
        </w:rPr>
      </w:pPr>
      <w:r w:rsidRPr="00C15818">
        <w:rPr>
          <w:spacing w:val="-4"/>
          <w:sz w:val="28"/>
          <w:szCs w:val="28"/>
        </w:rPr>
        <w:t>Căn cứ Thỏa thuận khung được ký kết giữa Trung tâm Dịch vụ đấu giá tài sản</w:t>
      </w:r>
      <w:r w:rsidR="00772EF4" w:rsidRPr="00C15818">
        <w:rPr>
          <w:spacing w:val="-4"/>
          <w:sz w:val="28"/>
          <w:szCs w:val="28"/>
        </w:rPr>
        <w:t xml:space="preserve"> Thành phố Hồ Chí Minh</w:t>
      </w:r>
      <w:r w:rsidRPr="00C15818">
        <w:rPr>
          <w:spacing w:val="-4"/>
          <w:sz w:val="28"/>
          <w:szCs w:val="28"/>
        </w:rPr>
        <w:t xml:space="preserve"> và </w:t>
      </w:r>
      <w:r w:rsidRPr="00C15818">
        <w:rPr>
          <w:sz w:val="28"/>
          <w:szCs w:val="28"/>
        </w:rPr>
        <w:t>đơn vị cung cấp sữa</w:t>
      </w:r>
      <w:r w:rsidRPr="00C15818">
        <w:rPr>
          <w:spacing w:val="-4"/>
          <w:sz w:val="28"/>
          <w:szCs w:val="28"/>
        </w:rPr>
        <w:t xml:space="preserve">, Ủy ban nhân dân quận huyện chủ động sử dụng nguồn ngân sách quận huyện để </w:t>
      </w:r>
      <w:r w:rsidRPr="00C15818">
        <w:rPr>
          <w:spacing w:val="-4"/>
          <w:sz w:val="28"/>
          <w:szCs w:val="28"/>
          <w:lang w:val="pt-BR"/>
        </w:rPr>
        <w:t>t</w:t>
      </w:r>
      <w:r w:rsidRPr="00C15818">
        <w:rPr>
          <w:spacing w:val="-4"/>
          <w:sz w:val="28"/>
          <w:szCs w:val="28"/>
        </w:rPr>
        <w:t>riển</w:t>
      </w:r>
      <w:r w:rsidRPr="00C15818">
        <w:rPr>
          <w:sz w:val="28"/>
          <w:szCs w:val="28"/>
        </w:rPr>
        <w:t xml:space="preserve"> khai cho các đơn vị thực hiện ký hợp đồng chi tiết, tổ chức uống sữa, thanh quyết toán kinh phí với nhà cung cấp, cụ thể như sau:</w:t>
      </w:r>
    </w:p>
    <w:p w14:paraId="3CE17477" w14:textId="77777777" w:rsidR="00720469" w:rsidRPr="00C15818" w:rsidRDefault="00720469" w:rsidP="00720469">
      <w:pPr>
        <w:pStyle w:val="NormalWeb"/>
        <w:spacing w:before="120" w:beforeAutospacing="0" w:after="120" w:afterAutospacing="0"/>
        <w:ind w:right="-1" w:firstLine="720"/>
        <w:jc w:val="both"/>
        <w:rPr>
          <w:sz w:val="28"/>
          <w:szCs w:val="28"/>
        </w:rPr>
      </w:pPr>
      <w:r w:rsidRPr="00C15818">
        <w:rPr>
          <w:sz w:val="28"/>
          <w:szCs w:val="28"/>
        </w:rPr>
        <w:t xml:space="preserve">- Đối với các </w:t>
      </w:r>
      <w:r w:rsidRPr="00C15818">
        <w:rPr>
          <w:sz w:val="28"/>
          <w:szCs w:val="28"/>
          <w:u w:val="single"/>
        </w:rPr>
        <w:t>cơ sở giáo dục công lập</w:t>
      </w:r>
      <w:r w:rsidRPr="00C15818">
        <w:rPr>
          <w:spacing w:val="-4"/>
          <w:sz w:val="28"/>
          <w:szCs w:val="28"/>
        </w:rPr>
        <w:t xml:space="preserve">: trực tiếp ký hợp </w:t>
      </w:r>
      <w:r w:rsidRPr="00C15818">
        <w:rPr>
          <w:sz w:val="28"/>
          <w:szCs w:val="28"/>
        </w:rPr>
        <w:t xml:space="preserve">đồng với nhà cung cấp, tổ chức uống sữa, thực hiện thanh quyết toán kinh phí đúng quy định; </w:t>
      </w:r>
    </w:p>
    <w:p w14:paraId="303DC86E" w14:textId="77777777" w:rsidR="00720469" w:rsidRPr="00C15818" w:rsidRDefault="00720469" w:rsidP="00720469">
      <w:pPr>
        <w:pStyle w:val="NormalWeb"/>
        <w:spacing w:before="120" w:beforeAutospacing="0" w:after="120" w:afterAutospacing="0"/>
        <w:ind w:right="-1" w:firstLine="720"/>
        <w:jc w:val="both"/>
        <w:rPr>
          <w:spacing w:val="-4"/>
          <w:sz w:val="28"/>
          <w:szCs w:val="28"/>
        </w:rPr>
      </w:pPr>
      <w:r w:rsidRPr="00C15818">
        <w:rPr>
          <w:sz w:val="28"/>
          <w:szCs w:val="28"/>
        </w:rPr>
        <w:t xml:space="preserve">- Đối với </w:t>
      </w:r>
      <w:r w:rsidRPr="00C15818">
        <w:rPr>
          <w:sz w:val="28"/>
          <w:szCs w:val="28"/>
          <w:u w:val="single"/>
        </w:rPr>
        <w:t>các cơ sở giáo dục ngoài công lập, lớp mẫu giáo độc lập tư thục</w:t>
      </w:r>
      <w:r w:rsidRPr="00C15818">
        <w:rPr>
          <w:sz w:val="28"/>
          <w:szCs w:val="28"/>
        </w:rPr>
        <w:t xml:space="preserve">: Phòng giáo dục và đào tạo thực hiện ký hợp đồng với nhà cung cấp, thực hiện thanh quyết toán kinh phí, kiểm tra, hướng dẫn các đơn vị tổ chức cho trẻ em mẫu giáo và học sinh tiểu học lớp 1 uống sữa. </w:t>
      </w:r>
    </w:p>
    <w:p w14:paraId="4D3EFD93" w14:textId="77777777" w:rsidR="00720469" w:rsidRPr="00C15818" w:rsidRDefault="00720469" w:rsidP="00720469">
      <w:pPr>
        <w:spacing w:before="120" w:after="120" w:line="240" w:lineRule="auto"/>
        <w:ind w:right="-1" w:firstLine="720"/>
        <w:rPr>
          <w:b/>
          <w:szCs w:val="28"/>
        </w:rPr>
      </w:pPr>
      <w:r w:rsidRPr="00C15818">
        <w:rPr>
          <w:b/>
          <w:szCs w:val="28"/>
        </w:rPr>
        <w:t xml:space="preserve">4. Về quản lý, sử dụng và thanh quyết toán kinh phí </w:t>
      </w:r>
    </w:p>
    <w:p w14:paraId="0492D389" w14:textId="77777777" w:rsidR="00720469" w:rsidRPr="00C15818" w:rsidRDefault="00720469" w:rsidP="00720469">
      <w:pPr>
        <w:spacing w:before="120" w:after="120" w:line="240" w:lineRule="auto"/>
        <w:ind w:right="-1" w:firstLine="720"/>
        <w:rPr>
          <w:szCs w:val="28"/>
        </w:rPr>
      </w:pPr>
      <w:r w:rsidRPr="00C15818">
        <w:rPr>
          <w:szCs w:val="28"/>
        </w:rPr>
        <w:t>a) Đối với nguồn kinh phí ngân sách hỗ trợ:</w:t>
      </w:r>
    </w:p>
    <w:p w14:paraId="0FC9EE2A" w14:textId="77777777" w:rsidR="00720469" w:rsidRPr="00C15818" w:rsidRDefault="00720469" w:rsidP="00720469">
      <w:pPr>
        <w:spacing w:before="120" w:after="120" w:line="240" w:lineRule="auto"/>
        <w:ind w:right="-1" w:firstLine="720"/>
        <w:rPr>
          <w:szCs w:val="28"/>
        </w:rPr>
      </w:pPr>
      <w:r w:rsidRPr="00C15818">
        <w:rPr>
          <w:szCs w:val="28"/>
        </w:rPr>
        <w:t>Căn cứ vào số lượng học sinh tham gia Chương trình sữa học đường; các cơ sở giáo dục mầm non, tiểu học công lập và ngoài công lập (</w:t>
      </w:r>
      <w:r w:rsidRPr="00C15818">
        <w:rPr>
          <w:i/>
          <w:szCs w:val="28"/>
        </w:rPr>
        <w:t xml:space="preserve">sau đây gọi chung là cơ sở giáo dục) </w:t>
      </w:r>
      <w:r w:rsidRPr="00C15818">
        <w:rPr>
          <w:szCs w:val="28"/>
        </w:rPr>
        <w:t xml:space="preserve">lập danh sách và xây dựng dự toán kinh phí thực hiện Chương trình sữa học đường gửi Phòng Giáo dục và Đào tạo. Phòng Giáo dục và Đào tạo có trách nhiệm thẩm định, tổng hợp gửi Phòng Tài chính - Kế hoạch cùng cấp xem xét, tổng hợp dự toán ngân sách quận, huyện trình UBND quận, huyện và gửi báo cáo nhu cầu kinh phí thực hiện Chương trình sữa học đường về Sở Giáo dục và Đào tạo </w:t>
      </w:r>
      <w:r w:rsidRPr="00C15818">
        <w:rPr>
          <w:i/>
          <w:szCs w:val="28"/>
        </w:rPr>
        <w:t>(mẫu báo cáo theo phụ lục số 01).</w:t>
      </w:r>
    </w:p>
    <w:p w14:paraId="50C267FF" w14:textId="153F36E2" w:rsidR="00720469" w:rsidRPr="00C15818" w:rsidRDefault="00720469" w:rsidP="00720469">
      <w:pPr>
        <w:spacing w:before="120" w:after="120" w:line="240" w:lineRule="auto"/>
        <w:ind w:right="-1" w:firstLine="720"/>
        <w:rPr>
          <w:szCs w:val="28"/>
        </w:rPr>
      </w:pPr>
      <w:r w:rsidRPr="00C15818">
        <w:rPr>
          <w:szCs w:val="28"/>
        </w:rPr>
        <w:t xml:space="preserve">Căn cứ báo cáo của </w:t>
      </w:r>
      <w:r w:rsidR="004946A8">
        <w:rPr>
          <w:szCs w:val="28"/>
        </w:rPr>
        <w:t>Ủy ban nhân dân</w:t>
      </w:r>
      <w:r w:rsidRPr="00C15818">
        <w:rPr>
          <w:szCs w:val="28"/>
        </w:rPr>
        <w:t xml:space="preserve"> quận, huyện, Sở Giáo dục và Đào tạo rà soát, tổng hợp số đối tượng, nhu cầu kinh phí thực hiện Chương trình sữa học đường gửi Sở Tài chính thẩm định trình </w:t>
      </w:r>
      <w:r w:rsidR="004946A8">
        <w:rPr>
          <w:szCs w:val="28"/>
        </w:rPr>
        <w:t>Ủy ban nhân dân</w:t>
      </w:r>
      <w:r w:rsidRPr="00C15818">
        <w:rPr>
          <w:szCs w:val="28"/>
        </w:rPr>
        <w:t xml:space="preserve"> thành phố xem xét, bổ sung có mục tiêu từ ngân sách thành phố cho ngân sách các quận, huyện để thực hiện Chương trình sữa học đường</w:t>
      </w:r>
      <w:r w:rsidRPr="00C15818">
        <w:rPr>
          <w:i/>
          <w:szCs w:val="28"/>
        </w:rPr>
        <w:t xml:space="preserve"> (mẫu báo cáo theo phụ lục số 02</w:t>
      </w:r>
      <w:r w:rsidR="006F6E8A" w:rsidRPr="006F6E8A">
        <w:rPr>
          <w:i/>
          <w:szCs w:val="28"/>
        </w:rPr>
        <w:t xml:space="preserve"> </w:t>
      </w:r>
      <w:r w:rsidR="006F6E8A" w:rsidRPr="00A40A6A">
        <w:rPr>
          <w:i/>
          <w:szCs w:val="28"/>
        </w:rPr>
        <w:t xml:space="preserve">và </w:t>
      </w:r>
      <w:r w:rsidRPr="00C15818">
        <w:rPr>
          <w:i/>
          <w:szCs w:val="28"/>
        </w:rPr>
        <w:t>03).</w:t>
      </w:r>
    </w:p>
    <w:p w14:paraId="4D1C77F4" w14:textId="77777777" w:rsidR="00720469" w:rsidRPr="00A40A6A" w:rsidRDefault="00720469" w:rsidP="00720469">
      <w:pPr>
        <w:spacing w:before="120" w:after="120" w:line="240" w:lineRule="auto"/>
        <w:ind w:right="-1" w:firstLine="720"/>
        <w:rPr>
          <w:szCs w:val="28"/>
        </w:rPr>
      </w:pPr>
      <w:r w:rsidRPr="00C15818">
        <w:rPr>
          <w:szCs w:val="28"/>
        </w:rPr>
        <w:t>Trường hợp kinh phí thanh toán còn thừa so với số kinh phí đã bổ sung, các đơn vị thực hiện nộp hoàn trả theo phân cấp ngân sách.</w:t>
      </w:r>
    </w:p>
    <w:p w14:paraId="5832AF12" w14:textId="77777777" w:rsidR="00720469" w:rsidRPr="00A40A6A" w:rsidRDefault="00720469" w:rsidP="00720469">
      <w:pPr>
        <w:spacing w:before="120" w:after="120" w:line="240" w:lineRule="auto"/>
        <w:ind w:right="-1" w:firstLine="720"/>
        <w:rPr>
          <w:szCs w:val="28"/>
        </w:rPr>
      </w:pPr>
      <w:r w:rsidRPr="00A40A6A">
        <w:rPr>
          <w:szCs w:val="28"/>
        </w:rPr>
        <w:lastRenderedPageBreak/>
        <w:t>b) Đối với khoản thu đóng góp tham gia Chương trình sữa học đường của phụ huynh học sinh</w:t>
      </w:r>
    </w:p>
    <w:p w14:paraId="2B7320CE" w14:textId="77777777" w:rsidR="00720469" w:rsidRPr="00A40A6A" w:rsidRDefault="00720469" w:rsidP="00720469">
      <w:pPr>
        <w:spacing w:before="120" w:after="120" w:line="240" w:lineRule="auto"/>
        <w:ind w:right="-1" w:firstLine="720"/>
        <w:rPr>
          <w:szCs w:val="28"/>
        </w:rPr>
      </w:pPr>
      <w:r w:rsidRPr="00A40A6A">
        <w:rPr>
          <w:szCs w:val="28"/>
        </w:rPr>
        <w:t>- Khoản thu đóng góp tham gia Chương trình sữa học đường của phụ huynh học sinh được theo dõi, hạch toán riêng trên sổ sách kế toán và quyết toán theo chế độ tài chính – kế toán hiện hành.</w:t>
      </w:r>
    </w:p>
    <w:p w14:paraId="6EFBA8F4" w14:textId="40443C9E" w:rsidR="00720469" w:rsidRPr="00A40A6A" w:rsidRDefault="00720469" w:rsidP="00A40A6A">
      <w:pPr>
        <w:spacing w:before="120" w:after="120" w:line="240" w:lineRule="auto"/>
        <w:ind w:right="-1" w:firstLine="720"/>
        <w:rPr>
          <w:i/>
          <w:szCs w:val="28"/>
        </w:rPr>
      </w:pPr>
      <w:r w:rsidRPr="000C310F">
        <w:rPr>
          <w:szCs w:val="28"/>
        </w:rPr>
        <w:t xml:space="preserve">- Phòng Giáo dục và Đào tạo có trách nhiệm tiếp nhận, theo dõi và quản lý kinh phí đóng góp tham gia Chương trình sữa học đường do các cơ sở giáo dục ngoài công lập nộp </w:t>
      </w:r>
      <w:r w:rsidR="00A40A6A" w:rsidRPr="000C310F">
        <w:rPr>
          <w:szCs w:val="28"/>
        </w:rPr>
        <w:t xml:space="preserve">qua hình thức </w:t>
      </w:r>
      <w:r w:rsidRPr="000C310F">
        <w:rPr>
          <w:szCs w:val="28"/>
        </w:rPr>
        <w:t xml:space="preserve">chuyển khoản </w:t>
      </w:r>
      <w:r w:rsidR="00A40A6A" w:rsidRPr="000C310F">
        <w:rPr>
          <w:szCs w:val="28"/>
        </w:rPr>
        <w:t>vào</w:t>
      </w:r>
      <w:r w:rsidRPr="000C310F">
        <w:rPr>
          <w:szCs w:val="28"/>
        </w:rPr>
        <w:t xml:space="preserve"> tài khoản tiền gửi của Phòng Giáo dục và Đào tạo mở tại Kho bạc nhà nước quận huyện.</w:t>
      </w:r>
    </w:p>
    <w:p w14:paraId="478D9459" w14:textId="77777777" w:rsidR="00720469" w:rsidRPr="00A40A6A" w:rsidRDefault="00720469" w:rsidP="00720469">
      <w:pPr>
        <w:spacing w:before="120" w:after="120" w:line="240" w:lineRule="auto"/>
        <w:ind w:right="-1" w:firstLine="720"/>
        <w:rPr>
          <w:szCs w:val="28"/>
        </w:rPr>
      </w:pPr>
      <w:r w:rsidRPr="00A40A6A">
        <w:rPr>
          <w:szCs w:val="28"/>
        </w:rPr>
        <w:t>c) Về sử dụng, thanh quyết toán kinh phí Chương trình sữa học đường</w:t>
      </w:r>
    </w:p>
    <w:p w14:paraId="1D80EFFA" w14:textId="77777777" w:rsidR="00720469" w:rsidRPr="00A40A6A" w:rsidRDefault="00720469" w:rsidP="00720469">
      <w:pPr>
        <w:spacing w:before="120" w:after="120" w:line="240" w:lineRule="auto"/>
        <w:ind w:right="-1" w:firstLine="720"/>
        <w:rPr>
          <w:szCs w:val="28"/>
        </w:rPr>
      </w:pPr>
      <w:r w:rsidRPr="00A40A6A">
        <w:rPr>
          <w:szCs w:val="28"/>
        </w:rPr>
        <w:t>Các cơ sở giáo dục công lập và phòng Giáo dục và Đào tạo chịu hoàn toàn trách nhiệm đối với báo cáo về đối tượng học sinh, số học sinh thực tế tham gia Chương trình sữa học đường và số lượng sữa đã sử dụng được nghiệm thu với đơn vị cung cấp sữa.</w:t>
      </w:r>
    </w:p>
    <w:p w14:paraId="768314E5" w14:textId="77777777" w:rsidR="00720469" w:rsidRPr="00C15818" w:rsidRDefault="00720469" w:rsidP="00720469">
      <w:pPr>
        <w:spacing w:before="120" w:after="120" w:line="240" w:lineRule="auto"/>
        <w:ind w:right="-1" w:firstLine="720"/>
        <w:rPr>
          <w:szCs w:val="28"/>
        </w:rPr>
      </w:pPr>
      <w:r w:rsidRPr="00C15818">
        <w:rPr>
          <w:szCs w:val="28"/>
        </w:rPr>
        <w:t>Căn cứ vào hợp đồng đã ký kết với đơn vị cung cấp sữa, căn cứ vào số học sinh thực tế tham gia Chương trình sữa học đường và biên bản nghiệm thu số lượng hộp sữa đã sử dụng của các cơ sở giáo dục với đơn vị cung cấp sữa; Phòng Giáo dục và Đào tạo và các cơ sở giáo dục công lập có trách nhiệm rà soát kiểm tra và thanh toán cho đơn vị cung cấp sữa theo quy định hiện hành và hợp đồng đã ký kết.</w:t>
      </w:r>
    </w:p>
    <w:p w14:paraId="1DC5958C" w14:textId="77777777" w:rsidR="00720469" w:rsidRPr="00C15818" w:rsidRDefault="00720469" w:rsidP="00720469">
      <w:pPr>
        <w:spacing w:before="120" w:after="120" w:line="240" w:lineRule="auto"/>
        <w:ind w:right="-1" w:firstLine="720"/>
        <w:rPr>
          <w:szCs w:val="28"/>
        </w:rPr>
      </w:pPr>
      <w:r w:rsidRPr="00C15818">
        <w:rPr>
          <w:szCs w:val="28"/>
        </w:rPr>
        <w:t xml:space="preserve">Phòng Giáo dục và Đào tạo và các cơ sở giáo dục công lập có trách nhiệm quản lý, sử dụng kinh phí Chương trình sữa học đường </w:t>
      </w:r>
      <w:r w:rsidRPr="00C15818">
        <w:rPr>
          <w:i/>
          <w:szCs w:val="28"/>
        </w:rPr>
        <w:t xml:space="preserve">(bao gồm nguồn ngân sách cấp và nguồn thu đóng góp của phụ huynh học sinh) </w:t>
      </w:r>
      <w:r w:rsidRPr="00C15818">
        <w:rPr>
          <w:szCs w:val="28"/>
        </w:rPr>
        <w:t>đúng mục đích, đúng đối tượng và thanh quyết toán theo đúng quy định của Luật NSNN và các văn bản hiện hành.</w:t>
      </w:r>
    </w:p>
    <w:p w14:paraId="4006D52E" w14:textId="77777777" w:rsidR="00720469" w:rsidRPr="00C15818" w:rsidRDefault="00720469" w:rsidP="00720469">
      <w:pPr>
        <w:spacing w:before="120" w:after="120" w:line="240" w:lineRule="auto"/>
        <w:ind w:right="-1" w:firstLine="720"/>
        <w:rPr>
          <w:szCs w:val="28"/>
        </w:rPr>
      </w:pPr>
      <w:r w:rsidRPr="00C15818">
        <w:rPr>
          <w:szCs w:val="28"/>
        </w:rPr>
        <w:t xml:space="preserve">Kết thúc năm ngân sách, Phòng Giáo dục và Đào tạo có trách nhiệm tổng hợp quyết toán kinh phí thực hiện Chương trình sữa học đường báo cáo UBND quận, huyện đồng thời gửi Sở Giáo dục và Đào tạo tổng hợp báo cáo chung kết quả thực hiện Chương trình; đồng gửi Sở Tài chính </w:t>
      </w:r>
      <w:r w:rsidRPr="00C15818">
        <w:rPr>
          <w:i/>
          <w:szCs w:val="28"/>
        </w:rPr>
        <w:t>(để theo dõi).</w:t>
      </w:r>
    </w:p>
    <w:p w14:paraId="612D1DD3" w14:textId="77777777" w:rsidR="00720469" w:rsidRPr="00C15818" w:rsidRDefault="00720469" w:rsidP="00720469">
      <w:pPr>
        <w:spacing w:before="120" w:after="120" w:line="240" w:lineRule="auto"/>
        <w:ind w:right="-1" w:firstLine="567"/>
        <w:rPr>
          <w:b/>
          <w:szCs w:val="28"/>
        </w:rPr>
      </w:pPr>
      <w:r w:rsidRPr="00C15818">
        <w:rPr>
          <w:b/>
          <w:szCs w:val="28"/>
        </w:rPr>
        <w:t xml:space="preserve">  5. Kinh phí thực hiện Chương trình và chế độ báo cáo</w:t>
      </w:r>
    </w:p>
    <w:p w14:paraId="1ADE18DF" w14:textId="77777777" w:rsidR="00720469" w:rsidRPr="00C15818" w:rsidRDefault="00720469" w:rsidP="00720469">
      <w:pPr>
        <w:spacing w:before="120" w:after="120" w:line="240" w:lineRule="auto"/>
        <w:ind w:right="-1" w:firstLine="567"/>
        <w:rPr>
          <w:i/>
          <w:color w:val="000000"/>
          <w:szCs w:val="28"/>
        </w:rPr>
      </w:pPr>
      <w:r w:rsidRPr="00C15818">
        <w:rPr>
          <w:color w:val="000000"/>
          <w:szCs w:val="28"/>
        </w:rPr>
        <w:t xml:space="preserve">  - Đối với kinh phí của các Sở, ngành: Kinh phí liên quan trong quá trình lựa chọn nhà thầu; kinh phí lấy mẫu, giám sát an toàn thực phẩm; kinh phí đánh giá tình trạng dinh dưỡng đề nghị Sở Tư pháp thành phố, Ban Quản lý An toàn thực phẩm thành phố, Sở Y tế thành phố lập dự toán kinh phí gửi Sở Tài chính </w:t>
      </w:r>
      <w:r w:rsidRPr="00C15818">
        <w:rPr>
          <w:b/>
          <w:i/>
          <w:color w:val="000000"/>
          <w:szCs w:val="28"/>
        </w:rPr>
        <w:t>(trước ngày 4 tháng 12 năm 2020)</w:t>
      </w:r>
      <w:r w:rsidRPr="00C15818">
        <w:rPr>
          <w:i/>
          <w:color w:val="000000"/>
          <w:szCs w:val="28"/>
        </w:rPr>
        <w:t xml:space="preserve"> </w:t>
      </w:r>
      <w:r w:rsidRPr="00C15818">
        <w:rPr>
          <w:color w:val="000000"/>
          <w:szCs w:val="28"/>
        </w:rPr>
        <w:t xml:space="preserve">để thẩm định trình Ủy ban nhân dân thành phố bố trí kinh phí để thực hiện. </w:t>
      </w:r>
    </w:p>
    <w:p w14:paraId="556CE818" w14:textId="77777777" w:rsidR="00720469" w:rsidRPr="00C15818" w:rsidRDefault="00720469" w:rsidP="00720469">
      <w:pPr>
        <w:spacing w:before="120" w:after="120" w:line="240" w:lineRule="auto"/>
        <w:ind w:right="-1" w:firstLine="720"/>
        <w:rPr>
          <w:szCs w:val="28"/>
        </w:rPr>
      </w:pPr>
      <w:r w:rsidRPr="00C15818">
        <w:rPr>
          <w:szCs w:val="28"/>
        </w:rPr>
        <w:t xml:space="preserve">- Đối với kinh phí của các quận, huyện: </w:t>
      </w:r>
    </w:p>
    <w:p w14:paraId="4E10CCB1" w14:textId="77777777" w:rsidR="00720469" w:rsidRPr="00C15818" w:rsidRDefault="00720469" w:rsidP="00720469">
      <w:pPr>
        <w:spacing w:before="120" w:after="120" w:line="240" w:lineRule="auto"/>
        <w:ind w:right="-1" w:firstLine="720"/>
        <w:rPr>
          <w:szCs w:val="28"/>
        </w:rPr>
      </w:pPr>
      <w:r w:rsidRPr="00C15818">
        <w:rPr>
          <w:szCs w:val="28"/>
        </w:rPr>
        <w:t>+ Về kinh phí uống sữa tháng 9 và tháng 10/2020: Tổng hợp theo số lượng học sinh uống sữa thực tế tại 10 quận huyện;</w:t>
      </w:r>
    </w:p>
    <w:p w14:paraId="75897252" w14:textId="77777777" w:rsidR="00720469" w:rsidRPr="00A40A6A" w:rsidRDefault="00720469" w:rsidP="00720469">
      <w:pPr>
        <w:spacing w:before="120" w:after="120" w:line="240" w:lineRule="auto"/>
        <w:ind w:right="-1" w:firstLine="720"/>
        <w:rPr>
          <w:szCs w:val="28"/>
        </w:rPr>
      </w:pPr>
      <w:r w:rsidRPr="00C15818">
        <w:rPr>
          <w:szCs w:val="28"/>
        </w:rPr>
        <w:lastRenderedPageBreak/>
        <w:t>+ Về kinh phí uống sữa tháng 11 và tháng 12/2020: Căn cứ số lượng học sinh uống sữa thực tế tháng 11/2020, các quận huyện dự kiến số lượng học sinh uống sữa tháng 12/2020 và tổng hợp kinh phí thực hiện uống sữa tháng 11 và tháng 12/2020.</w:t>
      </w:r>
    </w:p>
    <w:p w14:paraId="01A3750D" w14:textId="3672DE7B" w:rsidR="00720469" w:rsidRPr="00A40A6A" w:rsidRDefault="00720469" w:rsidP="00720469">
      <w:pPr>
        <w:spacing w:before="120" w:after="120" w:line="240" w:lineRule="auto"/>
        <w:ind w:right="-1" w:firstLine="720"/>
        <w:rPr>
          <w:szCs w:val="28"/>
        </w:rPr>
      </w:pPr>
      <w:r w:rsidRPr="00A40A6A">
        <w:rPr>
          <w:szCs w:val="28"/>
        </w:rPr>
        <w:t xml:space="preserve">Đề nghị </w:t>
      </w:r>
      <w:r w:rsidR="004946A8">
        <w:rPr>
          <w:szCs w:val="28"/>
        </w:rPr>
        <w:t xml:space="preserve">Ủy ban nhân dân </w:t>
      </w:r>
      <w:r w:rsidRPr="00A40A6A">
        <w:rPr>
          <w:szCs w:val="28"/>
        </w:rPr>
        <w:t xml:space="preserve">quận, huyện gửi báo cáo nhu cầu kinh phí thực hiện Chương trình sữa học đường về Sở Giáo dục và Đào tạo </w:t>
      </w:r>
      <w:r w:rsidRPr="00A40A6A">
        <w:rPr>
          <w:i/>
          <w:szCs w:val="28"/>
        </w:rPr>
        <w:t xml:space="preserve">(mẫu báo cáo theo phụ lục số 01) </w:t>
      </w:r>
      <w:r w:rsidRPr="00A40A6A">
        <w:rPr>
          <w:b/>
          <w:szCs w:val="28"/>
        </w:rPr>
        <w:t>chậm nhất là ngày 27 tháng 11 năm 2020</w:t>
      </w:r>
      <w:r w:rsidRPr="00A40A6A">
        <w:rPr>
          <w:szCs w:val="28"/>
        </w:rPr>
        <w:t xml:space="preserve">. Sở Giáo dục và Đào tạo rà soát, tổng hợp số đối tượng, nhu cầu kinh phí thực hiện Chương trình sữa học đường năm 2020 </w:t>
      </w:r>
      <w:r w:rsidRPr="00A40A6A">
        <w:rPr>
          <w:i/>
          <w:szCs w:val="28"/>
        </w:rPr>
        <w:t xml:space="preserve">(mẫu báo cáo theo phụ lục số 02 và 03) </w:t>
      </w:r>
      <w:r w:rsidRPr="00A40A6A">
        <w:rPr>
          <w:szCs w:val="28"/>
        </w:rPr>
        <w:t xml:space="preserve">gửi Sở Tài chính </w:t>
      </w:r>
      <w:r w:rsidRPr="00A40A6A">
        <w:rPr>
          <w:b/>
          <w:szCs w:val="28"/>
        </w:rPr>
        <w:t>chậm nhất là ngày 04 tháng 12 năm 2020</w:t>
      </w:r>
      <w:r w:rsidRPr="00A40A6A">
        <w:rPr>
          <w:szCs w:val="28"/>
        </w:rPr>
        <w:t xml:space="preserve"> để thẩm định trình </w:t>
      </w:r>
      <w:r w:rsidR="004946A8">
        <w:rPr>
          <w:szCs w:val="28"/>
        </w:rPr>
        <w:t xml:space="preserve">Ủy ban nhân dân </w:t>
      </w:r>
      <w:r w:rsidRPr="00A40A6A">
        <w:rPr>
          <w:szCs w:val="28"/>
        </w:rPr>
        <w:t>thành phố xem xét, bổ sung kinh phí cho các quận, huyện.</w:t>
      </w:r>
      <w:r w:rsidRPr="00A40A6A">
        <w:rPr>
          <w:b/>
          <w:szCs w:val="28"/>
        </w:rPr>
        <w:t xml:space="preserve"> </w:t>
      </w:r>
    </w:p>
    <w:p w14:paraId="3B94DCBF" w14:textId="29D9C326" w:rsidR="0060652B" w:rsidRDefault="008868C5" w:rsidP="008868C5">
      <w:pPr>
        <w:tabs>
          <w:tab w:val="left" w:pos="567"/>
          <w:tab w:val="left" w:pos="6235"/>
        </w:tabs>
        <w:spacing w:before="120" w:after="120" w:line="240" w:lineRule="auto"/>
        <w:ind w:right="-1" w:firstLine="567"/>
        <w:rPr>
          <w:i/>
          <w:szCs w:val="28"/>
        </w:rPr>
      </w:pPr>
      <w:r w:rsidRPr="00A40A6A">
        <w:rPr>
          <w:rFonts w:eastAsia="Times New Roman"/>
          <w:szCs w:val="28"/>
        </w:rPr>
        <w:t xml:space="preserve">Để việc cấp bổ sung kinh phí thực hiện </w:t>
      </w:r>
      <w:r w:rsidRPr="00A40A6A">
        <w:rPr>
          <w:szCs w:val="28"/>
        </w:rPr>
        <w:t xml:space="preserve">Chương trình sữa học đường </w:t>
      </w:r>
      <w:r w:rsidRPr="00A40A6A">
        <w:rPr>
          <w:rFonts w:eastAsia="Times New Roman"/>
          <w:szCs w:val="28"/>
        </w:rPr>
        <w:t xml:space="preserve">cho </w:t>
      </w:r>
      <w:r w:rsidRPr="00A40A6A">
        <w:rPr>
          <w:szCs w:val="28"/>
        </w:rPr>
        <w:t>Ủy ban nhân dân các quậ</w:t>
      </w:r>
      <w:r w:rsidR="004946A8">
        <w:rPr>
          <w:szCs w:val="28"/>
        </w:rPr>
        <w:t>n</w:t>
      </w:r>
      <w:r w:rsidRPr="00A40A6A">
        <w:rPr>
          <w:szCs w:val="28"/>
        </w:rPr>
        <w:t xml:space="preserve"> huyện và Sở, ngành liên quan </w:t>
      </w:r>
      <w:r w:rsidRPr="00A40A6A">
        <w:rPr>
          <w:rFonts w:eastAsia="Times New Roman"/>
          <w:szCs w:val="28"/>
        </w:rPr>
        <w:t>kịp thời trong năm ngân sách 2020</w:t>
      </w:r>
      <w:r w:rsidRPr="00A40A6A">
        <w:rPr>
          <w:szCs w:val="28"/>
        </w:rPr>
        <w:t>,</w:t>
      </w:r>
      <w:r w:rsidRPr="00A40A6A">
        <w:rPr>
          <w:rFonts w:eastAsia="Times New Roman"/>
          <w:szCs w:val="28"/>
        </w:rPr>
        <w:t xml:space="preserve"> Liên Sở Tài chính - </w:t>
      </w:r>
      <w:r w:rsidRPr="00A40A6A">
        <w:rPr>
          <w:szCs w:val="28"/>
        </w:rPr>
        <w:t xml:space="preserve">Sở Giáo dục và Đào tạo đề nghị các Sở, ngành liên quan và Ủy ban nhân dân các quận, huyện </w:t>
      </w:r>
      <w:r w:rsidRPr="00A40A6A">
        <w:rPr>
          <w:rFonts w:eastAsia="Times New Roman"/>
          <w:szCs w:val="28"/>
        </w:rPr>
        <w:t xml:space="preserve">triển khai đến các trường thực hiện đúng nội dung Công văn này </w:t>
      </w:r>
      <w:r w:rsidRPr="00A40A6A">
        <w:rPr>
          <w:szCs w:val="28"/>
        </w:rPr>
        <w:t>và tổng hợp số liệu gửi Sở Giáo dục và Đào tạo,</w:t>
      </w:r>
      <w:r w:rsidRPr="00A40A6A">
        <w:rPr>
          <w:rFonts w:eastAsia="Times New Roman"/>
          <w:szCs w:val="28"/>
        </w:rPr>
        <w:t xml:space="preserve"> Sở Tài chính</w:t>
      </w:r>
      <w:r w:rsidRPr="00A40A6A">
        <w:rPr>
          <w:szCs w:val="28"/>
        </w:rPr>
        <w:t xml:space="preserve"> </w:t>
      </w:r>
      <w:r w:rsidRPr="00A40A6A">
        <w:rPr>
          <w:rFonts w:eastAsia="Times New Roman"/>
          <w:szCs w:val="28"/>
        </w:rPr>
        <w:t>đúng thời gian nêu trên</w:t>
      </w:r>
      <w:r w:rsidR="00AB5DD3" w:rsidRPr="00A40A6A">
        <w:rPr>
          <w:szCs w:val="28"/>
        </w:rPr>
        <w:t>./</w:t>
      </w:r>
      <w:r w:rsidR="00AB5DD3" w:rsidRPr="00A40A6A">
        <w:rPr>
          <w:i/>
          <w:szCs w:val="28"/>
        </w:rPr>
        <w:t>.</w:t>
      </w:r>
    </w:p>
    <w:p w14:paraId="0A5D7BAF" w14:textId="77777777" w:rsidR="00193E14" w:rsidRPr="00A40A6A" w:rsidRDefault="00193E14" w:rsidP="008868C5">
      <w:pPr>
        <w:tabs>
          <w:tab w:val="left" w:pos="567"/>
          <w:tab w:val="left" w:pos="6235"/>
        </w:tabs>
        <w:spacing w:before="120" w:after="120" w:line="240" w:lineRule="auto"/>
        <w:ind w:right="-1" w:firstLine="567"/>
        <w:rPr>
          <w:i/>
          <w:szCs w:val="28"/>
        </w:rPr>
      </w:pPr>
    </w:p>
    <w:tbl>
      <w:tblPr>
        <w:tblW w:w="8897" w:type="dxa"/>
        <w:tblLayout w:type="fixed"/>
        <w:tblLook w:val="0000" w:firstRow="0" w:lastRow="0" w:firstColumn="0" w:lastColumn="0" w:noHBand="0" w:noVBand="0"/>
      </w:tblPr>
      <w:tblGrid>
        <w:gridCol w:w="4644"/>
        <w:gridCol w:w="4253"/>
      </w:tblGrid>
      <w:tr w:rsidR="002B6B22" w:rsidRPr="001D012F" w14:paraId="506B7864" w14:textId="77777777" w:rsidTr="0004452F">
        <w:trPr>
          <w:trHeight w:val="2957"/>
        </w:trPr>
        <w:tc>
          <w:tcPr>
            <w:tcW w:w="4644" w:type="dxa"/>
            <w:vAlign w:val="center"/>
          </w:tcPr>
          <w:p w14:paraId="426CCD90" w14:textId="77777777" w:rsidR="004946A8" w:rsidRPr="004946A8" w:rsidRDefault="004946A8" w:rsidP="0004452F">
            <w:pPr>
              <w:spacing w:before="0" w:after="0" w:line="240" w:lineRule="auto"/>
              <w:ind w:right="-1"/>
              <w:jc w:val="center"/>
              <w:rPr>
                <w:rFonts w:eastAsia="Times New Roman"/>
                <w:b/>
                <w:szCs w:val="28"/>
              </w:rPr>
            </w:pPr>
            <w:r w:rsidRPr="004946A8">
              <w:rPr>
                <w:rFonts w:eastAsia="Times New Roman"/>
                <w:b/>
                <w:szCs w:val="28"/>
              </w:rPr>
              <w:t>SỞ GIÁO DỤC VÀ ĐÀO TẠO</w:t>
            </w:r>
          </w:p>
          <w:p w14:paraId="6316DA1D" w14:textId="33417BB6" w:rsidR="004946A8" w:rsidRPr="004946A8" w:rsidRDefault="004946A8" w:rsidP="0004452F">
            <w:pPr>
              <w:spacing w:before="0" w:after="0" w:line="240" w:lineRule="auto"/>
              <w:ind w:right="-1"/>
              <w:jc w:val="center"/>
              <w:rPr>
                <w:rFonts w:eastAsia="Times New Roman"/>
                <w:b/>
                <w:szCs w:val="28"/>
              </w:rPr>
            </w:pPr>
            <w:r w:rsidRPr="004946A8">
              <w:rPr>
                <w:rFonts w:eastAsia="Times New Roman"/>
                <w:b/>
                <w:szCs w:val="28"/>
              </w:rPr>
              <w:t>GIÁM ĐỐC</w:t>
            </w:r>
          </w:p>
          <w:p w14:paraId="457CB428" w14:textId="77777777" w:rsidR="004946A8" w:rsidRPr="004946A8" w:rsidRDefault="004946A8" w:rsidP="0004452F">
            <w:pPr>
              <w:spacing w:before="0" w:after="0" w:line="240" w:lineRule="auto"/>
              <w:ind w:right="-1"/>
              <w:jc w:val="center"/>
              <w:rPr>
                <w:rFonts w:eastAsia="Times New Roman"/>
                <w:b/>
                <w:szCs w:val="28"/>
              </w:rPr>
            </w:pPr>
          </w:p>
          <w:p w14:paraId="56AE21C8" w14:textId="77777777" w:rsidR="004946A8" w:rsidRDefault="004946A8" w:rsidP="0004452F">
            <w:pPr>
              <w:spacing w:before="0" w:after="0" w:line="240" w:lineRule="auto"/>
              <w:ind w:right="-1"/>
              <w:jc w:val="center"/>
              <w:rPr>
                <w:rFonts w:eastAsia="Times New Roman"/>
                <w:b/>
                <w:szCs w:val="28"/>
              </w:rPr>
            </w:pPr>
          </w:p>
          <w:p w14:paraId="7E105906" w14:textId="77777777" w:rsidR="00193E14" w:rsidRPr="004946A8" w:rsidRDefault="00193E14" w:rsidP="0004452F">
            <w:pPr>
              <w:spacing w:before="0" w:after="0" w:line="240" w:lineRule="auto"/>
              <w:ind w:right="-1"/>
              <w:jc w:val="center"/>
              <w:rPr>
                <w:rFonts w:eastAsia="Times New Roman"/>
                <w:b/>
                <w:szCs w:val="28"/>
              </w:rPr>
            </w:pPr>
          </w:p>
          <w:p w14:paraId="12D10D96" w14:textId="77777777" w:rsidR="00193E14" w:rsidRPr="004946A8" w:rsidRDefault="00193E14" w:rsidP="0004452F">
            <w:pPr>
              <w:spacing w:before="0" w:after="0" w:line="240" w:lineRule="auto"/>
              <w:ind w:right="-1"/>
              <w:jc w:val="center"/>
              <w:rPr>
                <w:rFonts w:eastAsia="Times New Roman"/>
                <w:b/>
                <w:szCs w:val="28"/>
              </w:rPr>
            </w:pPr>
          </w:p>
          <w:p w14:paraId="5C183434" w14:textId="77777777" w:rsidR="004946A8" w:rsidRPr="004946A8" w:rsidRDefault="004946A8" w:rsidP="0004452F">
            <w:pPr>
              <w:spacing w:before="0" w:after="0" w:line="240" w:lineRule="auto"/>
              <w:ind w:right="-1"/>
              <w:jc w:val="center"/>
              <w:rPr>
                <w:rFonts w:eastAsia="Times New Roman"/>
                <w:b/>
                <w:szCs w:val="28"/>
              </w:rPr>
            </w:pPr>
          </w:p>
          <w:p w14:paraId="7F1E6A3D" w14:textId="319F4746" w:rsidR="002B6B22" w:rsidRPr="00193E14" w:rsidRDefault="0004452F" w:rsidP="0004452F">
            <w:pPr>
              <w:tabs>
                <w:tab w:val="center" w:pos="2375"/>
              </w:tabs>
              <w:spacing w:before="0" w:after="0" w:line="240" w:lineRule="auto"/>
              <w:ind w:right="-431"/>
              <w:rPr>
                <w:rFonts w:eastAsia="Times New Roman"/>
                <w:b/>
                <w:szCs w:val="28"/>
              </w:rPr>
            </w:pPr>
            <w:r>
              <w:rPr>
                <w:rFonts w:eastAsia="Times New Roman"/>
                <w:b/>
                <w:szCs w:val="28"/>
              </w:rPr>
              <w:t xml:space="preserve">                 Lê Hồng Sơn</w:t>
            </w:r>
          </w:p>
        </w:tc>
        <w:tc>
          <w:tcPr>
            <w:tcW w:w="4253" w:type="dxa"/>
            <w:vAlign w:val="center"/>
          </w:tcPr>
          <w:p w14:paraId="4CDEA77C" w14:textId="77777777" w:rsidR="002B6B22" w:rsidRPr="004946A8" w:rsidRDefault="002B6B22" w:rsidP="0004452F">
            <w:pPr>
              <w:spacing w:before="0" w:after="0" w:line="240" w:lineRule="auto"/>
              <w:jc w:val="center"/>
              <w:rPr>
                <w:b/>
                <w:szCs w:val="28"/>
              </w:rPr>
            </w:pPr>
            <w:r w:rsidRPr="004946A8">
              <w:rPr>
                <w:b/>
                <w:szCs w:val="28"/>
              </w:rPr>
              <w:t>SỞ TÀI CHÍNH</w:t>
            </w:r>
          </w:p>
          <w:p w14:paraId="14CC2DAC" w14:textId="77777777" w:rsidR="002B6B22" w:rsidRPr="004946A8" w:rsidRDefault="002B6B22" w:rsidP="0004452F">
            <w:pPr>
              <w:spacing w:before="0" w:after="0" w:line="240" w:lineRule="auto"/>
              <w:jc w:val="center"/>
              <w:rPr>
                <w:b/>
                <w:szCs w:val="28"/>
              </w:rPr>
            </w:pPr>
            <w:r w:rsidRPr="004946A8">
              <w:rPr>
                <w:b/>
                <w:szCs w:val="28"/>
              </w:rPr>
              <w:t>GIÁM ĐỐC</w:t>
            </w:r>
          </w:p>
          <w:p w14:paraId="54342E7E" w14:textId="77777777" w:rsidR="00193E14" w:rsidRPr="004946A8" w:rsidRDefault="00193E14" w:rsidP="0004452F">
            <w:pPr>
              <w:spacing w:before="0" w:after="0" w:line="240" w:lineRule="auto"/>
              <w:jc w:val="center"/>
              <w:rPr>
                <w:b/>
                <w:szCs w:val="28"/>
              </w:rPr>
            </w:pPr>
          </w:p>
          <w:p w14:paraId="6FCB4FE6" w14:textId="77777777" w:rsidR="00193E14" w:rsidRDefault="00193E14" w:rsidP="0004452F">
            <w:pPr>
              <w:spacing w:before="0" w:after="0" w:line="240" w:lineRule="auto"/>
              <w:jc w:val="center"/>
              <w:rPr>
                <w:b/>
                <w:szCs w:val="28"/>
              </w:rPr>
            </w:pPr>
          </w:p>
          <w:p w14:paraId="2380417F" w14:textId="77777777" w:rsidR="00193E14" w:rsidRDefault="00193E14" w:rsidP="0004452F">
            <w:pPr>
              <w:spacing w:before="0" w:after="0" w:line="240" w:lineRule="auto"/>
              <w:jc w:val="center"/>
              <w:rPr>
                <w:b/>
                <w:szCs w:val="28"/>
              </w:rPr>
            </w:pPr>
          </w:p>
          <w:p w14:paraId="56F5126F" w14:textId="77777777" w:rsidR="00193E14" w:rsidRPr="004946A8" w:rsidRDefault="00193E14" w:rsidP="0004452F">
            <w:pPr>
              <w:spacing w:before="0" w:after="0" w:line="240" w:lineRule="auto"/>
              <w:jc w:val="center"/>
              <w:rPr>
                <w:b/>
                <w:szCs w:val="28"/>
              </w:rPr>
            </w:pPr>
          </w:p>
          <w:p w14:paraId="132ECAA4" w14:textId="77777777" w:rsidR="002B6B22" w:rsidRPr="004946A8" w:rsidRDefault="002B6B22" w:rsidP="0004452F">
            <w:pPr>
              <w:spacing w:before="0" w:after="0" w:line="240" w:lineRule="auto"/>
              <w:jc w:val="center"/>
              <w:rPr>
                <w:b/>
                <w:szCs w:val="28"/>
              </w:rPr>
            </w:pPr>
          </w:p>
          <w:p w14:paraId="54580959" w14:textId="222E87C2" w:rsidR="002B6B22" w:rsidRPr="004946A8" w:rsidRDefault="002B6B22" w:rsidP="0004452F">
            <w:pPr>
              <w:spacing w:before="0" w:after="0" w:line="240" w:lineRule="auto"/>
              <w:jc w:val="center"/>
              <w:rPr>
                <w:b/>
                <w:szCs w:val="28"/>
              </w:rPr>
            </w:pPr>
            <w:r w:rsidRPr="004946A8">
              <w:rPr>
                <w:b/>
                <w:szCs w:val="28"/>
              </w:rPr>
              <w:t>Phạm Thị Hồng Hà</w:t>
            </w:r>
          </w:p>
        </w:tc>
      </w:tr>
      <w:tr w:rsidR="002B6B22" w:rsidRPr="001B27D3" w14:paraId="71DD8042" w14:textId="77777777" w:rsidTr="0004452F">
        <w:trPr>
          <w:trHeight w:val="426"/>
        </w:trPr>
        <w:tc>
          <w:tcPr>
            <w:tcW w:w="4644" w:type="dxa"/>
          </w:tcPr>
          <w:p w14:paraId="64243D8F" w14:textId="77777777" w:rsidR="00193E14" w:rsidRDefault="00193E14" w:rsidP="002C4FEC">
            <w:pPr>
              <w:tabs>
                <w:tab w:val="center" w:pos="2375"/>
              </w:tabs>
              <w:spacing w:before="0" w:after="0" w:line="240" w:lineRule="auto"/>
              <w:ind w:right="-431"/>
              <w:rPr>
                <w:rFonts w:eastAsia="Times New Roman"/>
                <w:b/>
                <w:i/>
                <w:sz w:val="24"/>
                <w:szCs w:val="24"/>
              </w:rPr>
            </w:pPr>
          </w:p>
          <w:p w14:paraId="5D5A8A90" w14:textId="77777777" w:rsidR="00193E14" w:rsidRDefault="00193E14" w:rsidP="002C4FEC">
            <w:pPr>
              <w:tabs>
                <w:tab w:val="center" w:pos="2375"/>
              </w:tabs>
              <w:spacing w:before="0" w:after="0" w:line="240" w:lineRule="auto"/>
              <w:ind w:right="-431"/>
              <w:rPr>
                <w:rFonts w:eastAsia="Times New Roman"/>
                <w:b/>
                <w:i/>
                <w:sz w:val="24"/>
                <w:szCs w:val="24"/>
              </w:rPr>
            </w:pPr>
          </w:p>
          <w:p w14:paraId="45F68518" w14:textId="77777777" w:rsidR="002B6B22" w:rsidRPr="00945FEB" w:rsidRDefault="002B6B22" w:rsidP="002C4FEC">
            <w:pPr>
              <w:tabs>
                <w:tab w:val="center" w:pos="2375"/>
              </w:tabs>
              <w:spacing w:before="0" w:after="0" w:line="240" w:lineRule="auto"/>
              <w:ind w:right="-431"/>
              <w:rPr>
                <w:rFonts w:eastAsia="Times New Roman"/>
                <w:b/>
                <w:i/>
                <w:sz w:val="24"/>
                <w:szCs w:val="24"/>
              </w:rPr>
            </w:pPr>
            <w:r w:rsidRPr="00945FEB">
              <w:rPr>
                <w:rFonts w:eastAsia="Times New Roman"/>
                <w:b/>
                <w:i/>
                <w:sz w:val="24"/>
                <w:szCs w:val="24"/>
              </w:rPr>
              <w:t>- Nơi nhận:</w:t>
            </w:r>
            <w:r w:rsidRPr="00945FEB">
              <w:rPr>
                <w:rFonts w:eastAsia="Times New Roman"/>
                <w:b/>
                <w:i/>
                <w:sz w:val="24"/>
                <w:szCs w:val="24"/>
              </w:rPr>
              <w:tab/>
            </w:r>
          </w:p>
          <w:p w14:paraId="1D5CD1B9" w14:textId="77777777" w:rsidR="002B6B22" w:rsidRPr="00945FEB" w:rsidRDefault="002B6B22" w:rsidP="002B6B22">
            <w:pPr>
              <w:numPr>
                <w:ilvl w:val="0"/>
                <w:numId w:val="7"/>
              </w:numPr>
              <w:tabs>
                <w:tab w:val="clear" w:pos="360"/>
                <w:tab w:val="num" w:pos="142"/>
              </w:tabs>
              <w:spacing w:before="0" w:after="0" w:line="240" w:lineRule="auto"/>
              <w:ind w:right="-432"/>
              <w:jc w:val="left"/>
              <w:rPr>
                <w:rFonts w:eastAsia="Times New Roman"/>
                <w:sz w:val="24"/>
                <w:szCs w:val="24"/>
              </w:rPr>
            </w:pPr>
            <w:r w:rsidRPr="00945FEB">
              <w:rPr>
                <w:rFonts w:eastAsia="Times New Roman"/>
                <w:sz w:val="24"/>
                <w:szCs w:val="24"/>
              </w:rPr>
              <w:t>Như trên;</w:t>
            </w:r>
          </w:p>
          <w:p w14:paraId="0CE65E2F" w14:textId="77777777" w:rsidR="002B6B22" w:rsidRPr="00945FEB" w:rsidRDefault="002B6B22" w:rsidP="002B6B22">
            <w:pPr>
              <w:numPr>
                <w:ilvl w:val="0"/>
                <w:numId w:val="7"/>
              </w:numPr>
              <w:tabs>
                <w:tab w:val="clear" w:pos="360"/>
                <w:tab w:val="num" w:pos="142"/>
              </w:tabs>
              <w:spacing w:before="0" w:after="0" w:line="240" w:lineRule="auto"/>
              <w:ind w:right="-432"/>
              <w:jc w:val="left"/>
              <w:rPr>
                <w:rFonts w:eastAsia="Times New Roman"/>
                <w:sz w:val="24"/>
                <w:szCs w:val="24"/>
              </w:rPr>
            </w:pPr>
            <w:r w:rsidRPr="00945FEB">
              <w:rPr>
                <w:rFonts w:eastAsia="Times New Roman"/>
                <w:sz w:val="24"/>
                <w:szCs w:val="24"/>
              </w:rPr>
              <w:t>UBND TP (để báo cáo);</w:t>
            </w:r>
          </w:p>
          <w:p w14:paraId="7CB7D87C" w14:textId="2E190560" w:rsidR="002B6B22" w:rsidRPr="00945FEB" w:rsidRDefault="00812D20" w:rsidP="002B6B22">
            <w:pPr>
              <w:numPr>
                <w:ilvl w:val="0"/>
                <w:numId w:val="7"/>
              </w:numPr>
              <w:tabs>
                <w:tab w:val="clear" w:pos="360"/>
                <w:tab w:val="num" w:pos="142"/>
                <w:tab w:val="center" w:pos="2375"/>
              </w:tabs>
              <w:spacing w:before="0" w:after="0" w:line="240" w:lineRule="auto"/>
              <w:ind w:right="-431"/>
              <w:jc w:val="left"/>
              <w:rPr>
                <w:rFonts w:eastAsia="Times New Roman"/>
                <w:b/>
                <w:i/>
                <w:sz w:val="24"/>
                <w:szCs w:val="24"/>
              </w:rPr>
            </w:pPr>
            <w:r>
              <w:rPr>
                <w:rFonts w:eastAsia="Times New Roman"/>
                <w:sz w:val="24"/>
                <w:szCs w:val="24"/>
              </w:rPr>
              <w:t>Lưu VP,</w:t>
            </w:r>
            <w:r w:rsidR="002B6B22" w:rsidRPr="00945FEB">
              <w:rPr>
                <w:rFonts w:eastAsia="Times New Roman"/>
                <w:sz w:val="24"/>
                <w:szCs w:val="24"/>
              </w:rPr>
              <w:t xml:space="preserve"> </w:t>
            </w:r>
            <w:r>
              <w:rPr>
                <w:rFonts w:eastAsia="Times New Roman"/>
                <w:sz w:val="24"/>
                <w:szCs w:val="24"/>
              </w:rPr>
              <w:t>S</w:t>
            </w:r>
            <w:r w:rsidR="002B6B22" w:rsidRPr="00945FEB">
              <w:rPr>
                <w:rFonts w:eastAsia="Times New Roman"/>
                <w:sz w:val="24"/>
                <w:szCs w:val="24"/>
              </w:rPr>
              <w:t xml:space="preserve">TC, </w:t>
            </w:r>
            <w:r>
              <w:rPr>
                <w:rFonts w:eastAsia="Times New Roman"/>
                <w:sz w:val="24"/>
                <w:szCs w:val="24"/>
              </w:rPr>
              <w:t>S</w:t>
            </w:r>
            <w:r w:rsidR="00193E14">
              <w:rPr>
                <w:rFonts w:eastAsia="Times New Roman"/>
                <w:sz w:val="24"/>
                <w:szCs w:val="24"/>
              </w:rPr>
              <w:t>GDĐT.H (6</w:t>
            </w:r>
            <w:r w:rsidR="002B6B22" w:rsidRPr="00945FEB">
              <w:rPr>
                <w:rFonts w:eastAsia="Times New Roman"/>
                <w:sz w:val="24"/>
                <w:szCs w:val="24"/>
              </w:rPr>
              <w:t>b)</w:t>
            </w:r>
          </w:p>
        </w:tc>
        <w:tc>
          <w:tcPr>
            <w:tcW w:w="4253" w:type="dxa"/>
          </w:tcPr>
          <w:p w14:paraId="33F8FBB8" w14:textId="77777777" w:rsidR="002B6B22" w:rsidRPr="001B27D3" w:rsidRDefault="002B6B22" w:rsidP="002C4FEC">
            <w:pPr>
              <w:spacing w:before="120" w:after="120"/>
              <w:rPr>
                <w:b/>
              </w:rPr>
            </w:pPr>
          </w:p>
        </w:tc>
      </w:tr>
    </w:tbl>
    <w:p w14:paraId="7FCC0961" w14:textId="77777777" w:rsidR="002B6B22" w:rsidRDefault="002B6B22" w:rsidP="008868C5">
      <w:pPr>
        <w:tabs>
          <w:tab w:val="left" w:pos="567"/>
          <w:tab w:val="left" w:pos="6235"/>
        </w:tabs>
        <w:spacing w:before="120" w:after="120" w:line="240" w:lineRule="auto"/>
        <w:ind w:right="-1" w:firstLine="567"/>
      </w:pPr>
    </w:p>
    <w:sectPr w:rsidR="002B6B22" w:rsidSect="002B6B22">
      <w:footerReference w:type="default" r:id="rId9"/>
      <w:pgSz w:w="11907" w:h="16840" w:code="9"/>
      <w:pgMar w:top="1276" w:right="1417" w:bottom="1560" w:left="1560"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A25FE" w14:textId="77777777" w:rsidR="00C43E3B" w:rsidRDefault="00C43E3B">
      <w:pPr>
        <w:spacing w:before="0" w:after="0" w:line="240" w:lineRule="auto"/>
      </w:pPr>
      <w:r>
        <w:separator/>
      </w:r>
    </w:p>
  </w:endnote>
  <w:endnote w:type="continuationSeparator" w:id="0">
    <w:p w14:paraId="33F9A815" w14:textId="77777777" w:rsidR="00C43E3B" w:rsidRDefault="00C43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544707"/>
      <w:docPartObj>
        <w:docPartGallery w:val="Page Numbers (Bottom of Page)"/>
        <w:docPartUnique/>
      </w:docPartObj>
    </w:sdtPr>
    <w:sdtEndPr>
      <w:rPr>
        <w:noProof/>
      </w:rPr>
    </w:sdtEndPr>
    <w:sdtContent>
      <w:p w14:paraId="00CB02A8" w14:textId="77777777" w:rsidR="0060652B" w:rsidRDefault="00AB5DD3">
        <w:pPr>
          <w:pStyle w:val="Footer"/>
          <w:tabs>
            <w:tab w:val="clear" w:pos="9360"/>
          </w:tabs>
          <w:ind w:right="0"/>
          <w:jc w:val="right"/>
        </w:pPr>
        <w:r>
          <w:fldChar w:fldCharType="begin"/>
        </w:r>
        <w:r>
          <w:instrText xml:space="preserve"> PAGE   \* MERGEFORMAT </w:instrText>
        </w:r>
        <w:r>
          <w:fldChar w:fldCharType="separate"/>
        </w:r>
        <w:r w:rsidR="00AD2E14">
          <w:rPr>
            <w:noProof/>
          </w:rPr>
          <w:t>1</w:t>
        </w:r>
        <w:r>
          <w:rPr>
            <w:noProof/>
          </w:rPr>
          <w:fldChar w:fldCharType="end"/>
        </w:r>
      </w:p>
    </w:sdtContent>
  </w:sdt>
  <w:p w14:paraId="07318EE6" w14:textId="77777777" w:rsidR="0060652B" w:rsidRDefault="00606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B61D" w14:textId="77777777" w:rsidR="00C43E3B" w:rsidRDefault="00C43E3B">
      <w:pPr>
        <w:spacing w:before="0" w:after="0" w:line="240" w:lineRule="auto"/>
      </w:pPr>
      <w:r>
        <w:separator/>
      </w:r>
    </w:p>
  </w:footnote>
  <w:footnote w:type="continuationSeparator" w:id="0">
    <w:p w14:paraId="729D30B8" w14:textId="77777777" w:rsidR="00C43E3B" w:rsidRDefault="00C43E3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9F6"/>
    <w:multiLevelType w:val="hybridMultilevel"/>
    <w:tmpl w:val="816CA288"/>
    <w:lvl w:ilvl="0" w:tplc="8506DE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56377FC"/>
    <w:multiLevelType w:val="hybridMultilevel"/>
    <w:tmpl w:val="3A8A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96F23"/>
    <w:multiLevelType w:val="hybridMultilevel"/>
    <w:tmpl w:val="2752E5E0"/>
    <w:lvl w:ilvl="0" w:tplc="7702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DB17C0"/>
    <w:multiLevelType w:val="singleLevel"/>
    <w:tmpl w:val="CE8AFFC0"/>
    <w:lvl w:ilvl="0">
      <w:numFmt w:val="bullet"/>
      <w:lvlText w:val="-"/>
      <w:lvlJc w:val="left"/>
      <w:pPr>
        <w:tabs>
          <w:tab w:val="num" w:pos="360"/>
        </w:tabs>
        <w:ind w:left="360" w:hanging="360"/>
      </w:pPr>
      <w:rPr>
        <w:rFonts w:ascii="Times New Roman" w:hAnsi="Times New Roman" w:hint="default"/>
      </w:rPr>
    </w:lvl>
  </w:abstractNum>
  <w:abstractNum w:abstractNumId="4">
    <w:nsid w:val="54F21EB9"/>
    <w:multiLevelType w:val="hybridMultilevel"/>
    <w:tmpl w:val="EB5A7910"/>
    <w:lvl w:ilvl="0" w:tplc="8C1EC1F8">
      <w:start w:val="3"/>
      <w:numFmt w:val="bullet"/>
      <w:lvlText w:val="-"/>
      <w:lvlJc w:val="left"/>
      <w:pPr>
        <w:ind w:left="1069" w:hanging="360"/>
      </w:pPr>
      <w:rPr>
        <w:rFonts w:ascii="Times New Roman" w:eastAsiaTheme="minorHAnsi"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A540CA6"/>
    <w:multiLevelType w:val="hybridMultilevel"/>
    <w:tmpl w:val="97B0D26C"/>
    <w:lvl w:ilvl="0" w:tplc="5A084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B86DD1"/>
    <w:multiLevelType w:val="hybridMultilevel"/>
    <w:tmpl w:val="FBA48A08"/>
    <w:lvl w:ilvl="0" w:tplc="A43C3A1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2B"/>
    <w:rsid w:val="00005A6C"/>
    <w:rsid w:val="00022424"/>
    <w:rsid w:val="0004452F"/>
    <w:rsid w:val="00070E7F"/>
    <w:rsid w:val="0007586E"/>
    <w:rsid w:val="00081EDF"/>
    <w:rsid w:val="000C310F"/>
    <w:rsid w:val="000C7CEE"/>
    <w:rsid w:val="000D1756"/>
    <w:rsid w:val="000D68F1"/>
    <w:rsid w:val="000F7BEA"/>
    <w:rsid w:val="00112A7F"/>
    <w:rsid w:val="00137948"/>
    <w:rsid w:val="0014282C"/>
    <w:rsid w:val="001539C6"/>
    <w:rsid w:val="001543C6"/>
    <w:rsid w:val="0017491B"/>
    <w:rsid w:val="00182D83"/>
    <w:rsid w:val="00193E14"/>
    <w:rsid w:val="001944E5"/>
    <w:rsid w:val="001A167D"/>
    <w:rsid w:val="001A7E84"/>
    <w:rsid w:val="002262B4"/>
    <w:rsid w:val="00227BB2"/>
    <w:rsid w:val="0025215F"/>
    <w:rsid w:val="00253D6D"/>
    <w:rsid w:val="00262E98"/>
    <w:rsid w:val="00263482"/>
    <w:rsid w:val="00265984"/>
    <w:rsid w:val="002726BC"/>
    <w:rsid w:val="00274E21"/>
    <w:rsid w:val="00290F80"/>
    <w:rsid w:val="0029102E"/>
    <w:rsid w:val="00291E60"/>
    <w:rsid w:val="002A4CC4"/>
    <w:rsid w:val="002B6B22"/>
    <w:rsid w:val="002C371E"/>
    <w:rsid w:val="002C7A1F"/>
    <w:rsid w:val="002E1FFD"/>
    <w:rsid w:val="002E3870"/>
    <w:rsid w:val="002F7EB6"/>
    <w:rsid w:val="00333109"/>
    <w:rsid w:val="00337C7F"/>
    <w:rsid w:val="0034219C"/>
    <w:rsid w:val="003469DC"/>
    <w:rsid w:val="00361369"/>
    <w:rsid w:val="00380069"/>
    <w:rsid w:val="00392F40"/>
    <w:rsid w:val="003C2918"/>
    <w:rsid w:val="004438A1"/>
    <w:rsid w:val="004946A8"/>
    <w:rsid w:val="00496FBF"/>
    <w:rsid w:val="004C7599"/>
    <w:rsid w:val="004D333D"/>
    <w:rsid w:val="004E52AB"/>
    <w:rsid w:val="00513237"/>
    <w:rsid w:val="00542D66"/>
    <w:rsid w:val="00547CD5"/>
    <w:rsid w:val="00566D77"/>
    <w:rsid w:val="00567FD7"/>
    <w:rsid w:val="00575152"/>
    <w:rsid w:val="005A42A9"/>
    <w:rsid w:val="005B1A0E"/>
    <w:rsid w:val="005C5660"/>
    <w:rsid w:val="005C6425"/>
    <w:rsid w:val="005D3279"/>
    <w:rsid w:val="005F2F78"/>
    <w:rsid w:val="00600CD9"/>
    <w:rsid w:val="0060652B"/>
    <w:rsid w:val="0062085A"/>
    <w:rsid w:val="00646C35"/>
    <w:rsid w:val="006528A9"/>
    <w:rsid w:val="006C0C05"/>
    <w:rsid w:val="006D43F8"/>
    <w:rsid w:val="006D5DE1"/>
    <w:rsid w:val="006E71E6"/>
    <w:rsid w:val="006F6E8A"/>
    <w:rsid w:val="00717559"/>
    <w:rsid w:val="00720469"/>
    <w:rsid w:val="00741D30"/>
    <w:rsid w:val="00745995"/>
    <w:rsid w:val="00750E6B"/>
    <w:rsid w:val="00754FB8"/>
    <w:rsid w:val="007562E0"/>
    <w:rsid w:val="00772EF4"/>
    <w:rsid w:val="0078224F"/>
    <w:rsid w:val="007837B7"/>
    <w:rsid w:val="00787082"/>
    <w:rsid w:val="007975A0"/>
    <w:rsid w:val="007B2D71"/>
    <w:rsid w:val="007B511C"/>
    <w:rsid w:val="007B7655"/>
    <w:rsid w:val="007C6A9C"/>
    <w:rsid w:val="007C7023"/>
    <w:rsid w:val="007C731D"/>
    <w:rsid w:val="007D7070"/>
    <w:rsid w:val="007E188B"/>
    <w:rsid w:val="007E483A"/>
    <w:rsid w:val="007F0A0C"/>
    <w:rsid w:val="0080389C"/>
    <w:rsid w:val="00812D20"/>
    <w:rsid w:val="00842261"/>
    <w:rsid w:val="0085470E"/>
    <w:rsid w:val="0085612E"/>
    <w:rsid w:val="008732EB"/>
    <w:rsid w:val="008868C5"/>
    <w:rsid w:val="008958EC"/>
    <w:rsid w:val="008A0ADC"/>
    <w:rsid w:val="008C6118"/>
    <w:rsid w:val="008D1D7E"/>
    <w:rsid w:val="008F0F6A"/>
    <w:rsid w:val="0092263E"/>
    <w:rsid w:val="00935066"/>
    <w:rsid w:val="00945FEB"/>
    <w:rsid w:val="009647C9"/>
    <w:rsid w:val="009A3B22"/>
    <w:rsid w:val="009A48A1"/>
    <w:rsid w:val="009D1902"/>
    <w:rsid w:val="00A23B5D"/>
    <w:rsid w:val="00A35148"/>
    <w:rsid w:val="00A40A6A"/>
    <w:rsid w:val="00A65C8A"/>
    <w:rsid w:val="00AB5DD3"/>
    <w:rsid w:val="00AC4415"/>
    <w:rsid w:val="00AD2E14"/>
    <w:rsid w:val="00AD333C"/>
    <w:rsid w:val="00AE5AED"/>
    <w:rsid w:val="00B246FC"/>
    <w:rsid w:val="00B326B7"/>
    <w:rsid w:val="00B56CBE"/>
    <w:rsid w:val="00B5793A"/>
    <w:rsid w:val="00B6062B"/>
    <w:rsid w:val="00B67692"/>
    <w:rsid w:val="00B71AB3"/>
    <w:rsid w:val="00B91342"/>
    <w:rsid w:val="00BB1065"/>
    <w:rsid w:val="00BB4DF5"/>
    <w:rsid w:val="00BF4BF6"/>
    <w:rsid w:val="00C022D9"/>
    <w:rsid w:val="00C14D39"/>
    <w:rsid w:val="00C15818"/>
    <w:rsid w:val="00C24E06"/>
    <w:rsid w:val="00C308D4"/>
    <w:rsid w:val="00C43E3B"/>
    <w:rsid w:val="00C44553"/>
    <w:rsid w:val="00C452E0"/>
    <w:rsid w:val="00C53C0C"/>
    <w:rsid w:val="00C61ECC"/>
    <w:rsid w:val="00C875B4"/>
    <w:rsid w:val="00C87EF2"/>
    <w:rsid w:val="00CA177E"/>
    <w:rsid w:val="00CD2E56"/>
    <w:rsid w:val="00CD550A"/>
    <w:rsid w:val="00CD6F1F"/>
    <w:rsid w:val="00CD7E99"/>
    <w:rsid w:val="00CE1310"/>
    <w:rsid w:val="00CE7BBE"/>
    <w:rsid w:val="00CF29FB"/>
    <w:rsid w:val="00D03DF4"/>
    <w:rsid w:val="00D11FA4"/>
    <w:rsid w:val="00D13EB9"/>
    <w:rsid w:val="00D32157"/>
    <w:rsid w:val="00D50071"/>
    <w:rsid w:val="00D63195"/>
    <w:rsid w:val="00D640E6"/>
    <w:rsid w:val="00D9702B"/>
    <w:rsid w:val="00D973D4"/>
    <w:rsid w:val="00DB0BF4"/>
    <w:rsid w:val="00DB2D34"/>
    <w:rsid w:val="00E001E5"/>
    <w:rsid w:val="00E1689E"/>
    <w:rsid w:val="00E86A18"/>
    <w:rsid w:val="00EC3EDD"/>
    <w:rsid w:val="00F551FC"/>
    <w:rsid w:val="00F611E0"/>
    <w:rsid w:val="00F64FC1"/>
    <w:rsid w:val="00FB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240" w:after="240" w:line="340" w:lineRule="exact"/>
        <w:ind w:right="-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3482"/>
    <w:pPr>
      <w:spacing w:before="100" w:beforeAutospacing="1" w:after="100" w:afterAutospacing="1" w:line="240" w:lineRule="auto"/>
      <w:ind w:right="0"/>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ind w:right="0"/>
      <w:jc w:val="left"/>
    </w:pPr>
    <w:rPr>
      <w:rFonts w:eastAsia="Times New Roman" w:cs="Times New Roman"/>
      <w:sz w:val="24"/>
      <w:szCs w:val="24"/>
    </w:rPr>
  </w:style>
  <w:style w:type="paragraph" w:styleId="NoSpacing">
    <w:name w:val="No Spacing"/>
    <w:uiPriority w:val="1"/>
    <w:qFormat/>
    <w:pPr>
      <w:spacing w:before="0" w:after="0" w:line="240" w:lineRule="auto"/>
    </w:p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before="0" w:after="160" w:line="240" w:lineRule="exact"/>
      <w:ind w:right="0"/>
      <w:jc w:val="left"/>
    </w:pPr>
    <w:rPr>
      <w:rFonts w:ascii="Arial" w:eastAsia="Times New Roman" w:hAnsi="Arial" w:cs="Times New Roman"/>
      <w:sz w:val="22"/>
    </w:rPr>
  </w:style>
  <w:style w:type="character" w:styleId="Hyperlink">
    <w:name w:val="Hyperlink"/>
    <w:uiPriority w:val="99"/>
    <w:semiHidden/>
    <w:unhideWhenUsed/>
    <w:rPr>
      <w:color w:val="0000FF"/>
      <w:u w:val="single"/>
    </w:r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263482"/>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240" w:after="240" w:line="340" w:lineRule="exact"/>
        <w:ind w:right="-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3482"/>
    <w:pPr>
      <w:spacing w:before="100" w:beforeAutospacing="1" w:after="100" w:afterAutospacing="1" w:line="240" w:lineRule="auto"/>
      <w:ind w:right="0"/>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ind w:right="0"/>
      <w:jc w:val="left"/>
    </w:pPr>
    <w:rPr>
      <w:rFonts w:eastAsia="Times New Roman" w:cs="Times New Roman"/>
      <w:sz w:val="24"/>
      <w:szCs w:val="24"/>
    </w:rPr>
  </w:style>
  <w:style w:type="paragraph" w:styleId="NoSpacing">
    <w:name w:val="No Spacing"/>
    <w:uiPriority w:val="1"/>
    <w:qFormat/>
    <w:pPr>
      <w:spacing w:before="0" w:after="0" w:line="240" w:lineRule="auto"/>
    </w:p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before="0" w:after="160" w:line="240" w:lineRule="exact"/>
      <w:ind w:right="0"/>
      <w:jc w:val="left"/>
    </w:pPr>
    <w:rPr>
      <w:rFonts w:ascii="Arial" w:eastAsia="Times New Roman" w:hAnsi="Arial" w:cs="Times New Roman"/>
      <w:sz w:val="22"/>
    </w:rPr>
  </w:style>
  <w:style w:type="character" w:styleId="Hyperlink">
    <w:name w:val="Hyperlink"/>
    <w:uiPriority w:val="99"/>
    <w:semiHidden/>
    <w:unhideWhenUsed/>
    <w:rPr>
      <w:color w:val="0000FF"/>
      <w:u w:val="single"/>
    </w:r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263482"/>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181">
      <w:bodyDiv w:val="1"/>
      <w:marLeft w:val="0"/>
      <w:marRight w:val="0"/>
      <w:marTop w:val="0"/>
      <w:marBottom w:val="0"/>
      <w:divBdr>
        <w:top w:val="none" w:sz="0" w:space="0" w:color="auto"/>
        <w:left w:val="none" w:sz="0" w:space="0" w:color="auto"/>
        <w:bottom w:val="none" w:sz="0" w:space="0" w:color="auto"/>
        <w:right w:val="none" w:sz="0" w:space="0" w:color="auto"/>
      </w:divBdr>
    </w:div>
    <w:div w:id="881788586">
      <w:bodyDiv w:val="1"/>
      <w:marLeft w:val="0"/>
      <w:marRight w:val="0"/>
      <w:marTop w:val="0"/>
      <w:marBottom w:val="0"/>
      <w:divBdr>
        <w:top w:val="none" w:sz="0" w:space="0" w:color="auto"/>
        <w:left w:val="none" w:sz="0" w:space="0" w:color="auto"/>
        <w:bottom w:val="none" w:sz="0" w:space="0" w:color="auto"/>
        <w:right w:val="none" w:sz="0" w:space="0" w:color="auto"/>
      </w:divBdr>
    </w:div>
    <w:div w:id="1415516002">
      <w:bodyDiv w:val="1"/>
      <w:marLeft w:val="0"/>
      <w:marRight w:val="0"/>
      <w:marTop w:val="0"/>
      <w:marBottom w:val="0"/>
      <w:divBdr>
        <w:top w:val="none" w:sz="0" w:space="0" w:color="auto"/>
        <w:left w:val="none" w:sz="0" w:space="0" w:color="auto"/>
        <w:bottom w:val="none" w:sz="0" w:space="0" w:color="auto"/>
        <w:right w:val="none" w:sz="0" w:space="0" w:color="auto"/>
      </w:divBdr>
    </w:div>
    <w:div w:id="16571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2C81D-457E-41A0-A6F1-14067200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QUANG-QH</dc:creator>
  <cp:lastModifiedBy>AutoBVT</cp:lastModifiedBy>
  <cp:revision>2</cp:revision>
  <cp:lastPrinted>2020-11-23T01:07:00Z</cp:lastPrinted>
  <dcterms:created xsi:type="dcterms:W3CDTF">2020-11-26T01:20:00Z</dcterms:created>
  <dcterms:modified xsi:type="dcterms:W3CDTF">2020-11-26T01:20:00Z</dcterms:modified>
</cp:coreProperties>
</file>